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ascii="仿宋_GB2312" w:eastAsia="仿宋_GB2312"/>
          <w:sz w:val="32"/>
          <w:szCs w:val="32"/>
        </w:rPr>
      </w:pPr>
      <w:r>
        <w:rPr>
          <w:rFonts w:hint="eastAsia" w:ascii="仿宋_GB2312" w:eastAsia="仿宋_GB2312"/>
          <w:sz w:val="32"/>
          <w:szCs w:val="32"/>
        </w:rPr>
        <w:t>院党字〔202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51</w:t>
      </w:r>
      <w:r>
        <w:rPr>
          <w:rFonts w:hint="eastAsia" w:ascii="仿宋_GB2312" w:eastAsia="仿宋_GB2312"/>
          <w:sz w:val="32"/>
          <w:szCs w:val="32"/>
        </w:rPr>
        <w:t>号</w:t>
      </w:r>
    </w:p>
    <w:p>
      <w:pPr>
        <w:jc w:val="center"/>
        <w:rPr>
          <w:rFonts w:eastAsia="仿宋_GB2312" w:cs="仿宋_GB2312"/>
          <w:sz w:val="32"/>
          <w:szCs w:val="32"/>
        </w:rPr>
      </w:pPr>
    </w:p>
    <w:p>
      <w:pPr>
        <w:adjustRightInd w:val="0"/>
        <w:snapToGrid w:val="0"/>
        <w:rPr>
          <w:rFonts w:eastAsia="方正小标宋简体" w:cs="宋体"/>
          <w:b/>
          <w:bCs/>
          <w:sz w:val="44"/>
          <w:szCs w:val="44"/>
        </w:rPr>
      </w:pPr>
    </w:p>
    <w:p>
      <w:pPr>
        <w:adjustRightInd w:val="0"/>
        <w:snapToGrid w:val="0"/>
        <w:spacing w:after="312" w:afterLines="100" w:line="560" w:lineRule="exact"/>
        <w:jc w:val="center"/>
        <w:outlineLvl w:val="0"/>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新乡学院202</w:t>
      </w:r>
      <w:r>
        <w:rPr>
          <w:rFonts w:hint="eastAsia" w:ascii="方正小标宋简体" w:hAnsi="方正小标宋简体" w:eastAsia="方正小标宋简体" w:cs="方正小标宋简体"/>
          <w:b/>
          <w:sz w:val="44"/>
          <w:szCs w:val="44"/>
          <w:lang w:val="en-US" w:eastAsia="zh-CN"/>
        </w:rPr>
        <w:t>1</w:t>
      </w:r>
      <w:r>
        <w:rPr>
          <w:rFonts w:hint="eastAsia" w:ascii="方正小标宋简体" w:hAnsi="方正小标宋简体" w:eastAsia="方正小标宋简体" w:cs="方正小标宋简体"/>
          <w:b/>
          <w:sz w:val="44"/>
          <w:szCs w:val="44"/>
        </w:rPr>
        <w:t>年党政工作要点</w:t>
      </w:r>
    </w:p>
    <w:p>
      <w:pPr>
        <w:adjustRightInd w:val="0"/>
        <w:spacing w:line="56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年，是中国共产党成立</w:t>
      </w:r>
      <w:r>
        <w:rPr>
          <w:rFonts w:ascii="仿宋_GB2312" w:eastAsia="仿宋_GB2312"/>
          <w:sz w:val="32"/>
          <w:szCs w:val="32"/>
        </w:rPr>
        <w:t>100</w:t>
      </w:r>
      <w:r>
        <w:rPr>
          <w:rFonts w:hint="eastAsia" w:ascii="仿宋_GB2312" w:eastAsia="仿宋_GB2312"/>
          <w:sz w:val="32"/>
          <w:szCs w:val="32"/>
        </w:rPr>
        <w:t>周年，是“十四五”规划开局之年，也是学校全面加强党的领导，实现高质量发展的关键之年。</w:t>
      </w:r>
    </w:p>
    <w:p>
      <w:pPr>
        <w:adjustRightIn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学校工作的总体思路</w:t>
      </w:r>
      <w:r>
        <w:rPr>
          <w:rFonts w:hint="eastAsia" w:ascii="仿宋_GB2312" w:eastAsia="仿宋_GB2312"/>
          <w:sz w:val="32"/>
          <w:szCs w:val="32"/>
        </w:rPr>
        <w:t>是：以习近平新时代中国特色社会主义思想为指导，贯彻落实党的十九大和十九届二中、三中、四中、五中全会精神，贯彻落实习近平总书记关于教育的重要论述和全国、全省教育大会精神，立足新发展阶段，贯彻新发展理念，服务新发展格局，坚持和加强党的全面领导，全面贯彻党的教育方针，落实立德树人根本任务，以建设高水平应用型本科高校为目标，以推动高质量发展为主题，以改革创新为动力，以一流专业、一流课程建设和专业认证为抓手，坚持党建引领、依法治校，深化改革、提高质量，巩固拓展新冠肺炎疫情防控和教育改革发展成果，积极构建高质量</w:t>
      </w:r>
      <w:r>
        <w:rPr>
          <w:rFonts w:hint="eastAsia" w:ascii="仿宋_GB2312" w:eastAsia="仿宋_GB2312"/>
          <w:sz w:val="32"/>
          <w:szCs w:val="32"/>
          <w:lang w:eastAsia="zh-CN"/>
        </w:rPr>
        <w:t>人才培养</w:t>
      </w:r>
      <w:r>
        <w:rPr>
          <w:rFonts w:hint="eastAsia" w:ascii="仿宋_GB2312" w:eastAsia="仿宋_GB2312"/>
          <w:sz w:val="32"/>
          <w:szCs w:val="32"/>
        </w:rPr>
        <w:t>体系，推进学校治理能力现代化，为“十四五”学校事业发展开好局、起好步，以优异成绩庆祝建党</w:t>
      </w:r>
      <w:r>
        <w:rPr>
          <w:rFonts w:ascii="仿宋_GB2312" w:eastAsia="仿宋_GB2312"/>
          <w:sz w:val="32"/>
          <w:szCs w:val="32"/>
        </w:rPr>
        <w:t>100</w:t>
      </w:r>
      <w:r>
        <w:rPr>
          <w:rFonts w:hint="eastAsia" w:ascii="仿宋_GB2312" w:eastAsia="仿宋_GB2312"/>
          <w:sz w:val="32"/>
          <w:szCs w:val="32"/>
        </w:rPr>
        <w:t>周年。</w:t>
      </w:r>
    </w:p>
    <w:p>
      <w:pPr>
        <w:adjustRightIn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学校重点工作</w:t>
      </w:r>
      <w:r>
        <w:rPr>
          <w:rFonts w:hint="eastAsia" w:ascii="仿宋_GB2312" w:eastAsia="仿宋_GB2312"/>
          <w:sz w:val="32"/>
          <w:szCs w:val="32"/>
        </w:rPr>
        <w:t>概括为</w:t>
      </w:r>
      <w:r>
        <w:rPr>
          <w:rFonts w:hint="eastAsia" w:ascii="仿宋_GB2312" w:eastAsia="仿宋_GB2312"/>
          <w:b/>
          <w:bCs/>
          <w:sz w:val="32"/>
          <w:szCs w:val="32"/>
        </w:rPr>
        <w:t>“一条主线、两个‘坚定不移’、九项‘持续推进’、十项‘深化改革’”</w:t>
      </w:r>
      <w:r>
        <w:rPr>
          <w:rFonts w:hint="eastAsia" w:ascii="仿宋_GB2312" w:eastAsia="仿宋_GB2312"/>
          <w:sz w:val="32"/>
          <w:szCs w:val="32"/>
        </w:rPr>
        <w:t>。</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w:t>
      </w:r>
      <w:r>
        <w:rPr>
          <w:rFonts w:hint="eastAsia" w:ascii="仿宋_GB2312" w:eastAsia="仿宋_GB2312"/>
          <w:b/>
          <w:bCs/>
          <w:sz w:val="32"/>
          <w:szCs w:val="32"/>
        </w:rPr>
        <w:t>一条主线：</w:t>
      </w:r>
      <w:r>
        <w:rPr>
          <w:rFonts w:hint="eastAsia" w:ascii="仿宋_GB2312" w:eastAsia="仿宋_GB2312"/>
          <w:sz w:val="32"/>
          <w:szCs w:val="32"/>
        </w:rPr>
        <w:t>坚持马克思主义指导地位，认真落实党中央和省委决策部署，以学习贯彻落实习近平新时代中国特色社会主义思想为主线</w:t>
      </w:r>
      <w:r>
        <w:rPr>
          <w:rFonts w:ascii="仿宋_GB2312" w:eastAsia="仿宋_GB2312"/>
          <w:sz w:val="32"/>
          <w:szCs w:val="32"/>
        </w:rPr>
        <w:t>,</w:t>
      </w:r>
      <w:r>
        <w:rPr>
          <w:rFonts w:hint="eastAsia" w:ascii="仿宋_GB2312" w:eastAsia="仿宋_GB2312"/>
          <w:sz w:val="32"/>
          <w:szCs w:val="32"/>
        </w:rPr>
        <w:t>扎实开展党史学习教育，更好总结历史经验、认识历史规律、掌握历史主动；精心组织建党</w:t>
      </w:r>
      <w:r>
        <w:rPr>
          <w:rFonts w:ascii="仿宋_GB2312" w:eastAsia="仿宋_GB2312"/>
          <w:sz w:val="32"/>
          <w:szCs w:val="32"/>
        </w:rPr>
        <w:t>100</w:t>
      </w:r>
      <w:r>
        <w:rPr>
          <w:rFonts w:hint="eastAsia" w:ascii="仿宋_GB2312" w:eastAsia="仿宋_GB2312"/>
          <w:sz w:val="32"/>
          <w:szCs w:val="32"/>
        </w:rPr>
        <w:t>周年系列庆祝活动，歌唱共产党、弘扬主旋律，营造共庆百年华诞、共创历史伟业的浓厚氛围</w:t>
      </w:r>
      <w:r>
        <w:rPr>
          <w:rFonts w:ascii="仿宋_GB2312" w:eastAsia="仿宋_GB2312"/>
          <w:sz w:val="32"/>
          <w:szCs w:val="32"/>
        </w:rPr>
        <w:t>,</w:t>
      </w:r>
      <w:r>
        <w:rPr>
          <w:rFonts w:hint="eastAsia" w:ascii="仿宋_GB2312" w:eastAsia="仿宋_GB2312"/>
          <w:sz w:val="32"/>
          <w:szCs w:val="32"/>
        </w:rPr>
        <w:t>引导全校师生员工坚定理想信念，培养爱党、爱国、爱社会主义的热情，推动全校师生员工深入学习领会习近平新时代中国特色社会主义思想的精髓和实质。</w:t>
      </w:r>
    </w:p>
    <w:p>
      <w:pPr>
        <w:adjustRightInd w:val="0"/>
        <w:spacing w:line="560" w:lineRule="exact"/>
        <w:ind w:firstLine="640" w:firstLineChars="200"/>
        <w:rPr>
          <w:rFonts w:ascii="仿宋_GB2312" w:eastAsia="仿宋_GB2312"/>
          <w:b/>
          <w:bCs/>
          <w:sz w:val="32"/>
          <w:szCs w:val="32"/>
        </w:rPr>
      </w:pPr>
      <w:r>
        <w:rPr>
          <w:rFonts w:ascii="仿宋_GB2312" w:eastAsia="仿宋_GB2312"/>
          <w:sz w:val="32"/>
          <w:szCs w:val="32"/>
        </w:rPr>
        <w:t>——</w:t>
      </w:r>
      <w:r>
        <w:rPr>
          <w:rFonts w:hint="eastAsia" w:ascii="仿宋_GB2312" w:eastAsia="仿宋_GB2312"/>
          <w:b/>
          <w:bCs/>
          <w:sz w:val="32"/>
          <w:szCs w:val="32"/>
        </w:rPr>
        <w:t>两个“坚定不移”：</w:t>
      </w:r>
    </w:p>
    <w:p>
      <w:pPr>
        <w:adjustRightInd w:val="0"/>
        <w:spacing w:line="560" w:lineRule="exact"/>
        <w:ind w:firstLine="643" w:firstLineChars="200"/>
        <w:rPr>
          <w:rFonts w:ascii="仿宋_GB2312" w:eastAsia="仿宋_GB2312"/>
          <w:bCs/>
          <w:sz w:val="32"/>
          <w:szCs w:val="32"/>
        </w:rPr>
      </w:pPr>
      <w:r>
        <w:rPr>
          <w:rFonts w:hint="eastAsia" w:ascii="仿宋_GB2312" w:eastAsia="仿宋_GB2312"/>
          <w:b/>
          <w:bCs/>
          <w:sz w:val="32"/>
          <w:szCs w:val="32"/>
        </w:rPr>
        <w:t>（一）坚定不移加强党的全面领导。</w:t>
      </w:r>
      <w:r>
        <w:rPr>
          <w:rFonts w:hint="eastAsia" w:ascii="仿宋_GB2312" w:eastAsia="仿宋_GB2312"/>
          <w:bCs/>
          <w:sz w:val="32"/>
          <w:szCs w:val="32"/>
        </w:rPr>
        <w:t>坚持社会主义办学方向，落实立德树人根本任务，切实增强“四个意识”、坚定“四个自信”，坚决做到“两个维护”，把党对高校的全面领导落实到加强自身建设、把好办学方向、建设高水平应用型本科高校、塑造大学文化的全过程。全面贯彻提高党的建设质量总要求，以党的政治建设为统领，全面推进党的政治、思想、组织、作风、纪律建设，把制度建设贯穿其中，为学校“十四五”开局起步提供坚强保证。以高质量党建引领学校事业高质量发展。</w:t>
      </w:r>
    </w:p>
    <w:p>
      <w:pPr>
        <w:adjustRightInd w:val="0"/>
        <w:spacing w:line="560" w:lineRule="exact"/>
        <w:ind w:firstLine="643" w:firstLineChars="200"/>
        <w:rPr>
          <w:rFonts w:ascii="仿宋_GB2312" w:eastAsia="仿宋_GB2312"/>
          <w:bCs/>
          <w:sz w:val="32"/>
          <w:szCs w:val="32"/>
        </w:rPr>
      </w:pPr>
      <w:r>
        <w:rPr>
          <w:rFonts w:hint="eastAsia" w:ascii="仿宋_GB2312" w:eastAsia="仿宋_GB2312"/>
          <w:b/>
          <w:bCs/>
          <w:sz w:val="32"/>
          <w:szCs w:val="32"/>
        </w:rPr>
        <w:t>（二）坚定不移全面从严治党。</w:t>
      </w:r>
      <w:r>
        <w:rPr>
          <w:rFonts w:hint="eastAsia" w:ascii="仿宋_GB2312" w:eastAsia="仿宋_GB2312"/>
          <w:bCs/>
          <w:sz w:val="32"/>
          <w:szCs w:val="32"/>
        </w:rPr>
        <w:t>全面落实从严治党要求，切实履行好党委“主体责任”和纪委“监督责任”。强化对权力运行的监督，健全刚性制度机制。推动政治监督具体化、常态化，严明政治纪律和政治规矩，压实党风廉政、意识形态等重点领域和安全稳定等重点工作的主体责任。持之以恒贯彻落实中央“八项规定”精神及其实施细则，驰而不息纠正“四风”，坚决破除形式主义、官僚主义。加强校内巡察力度，增强发现问题、处理问题能力，提高巡察监督实效。</w:t>
      </w:r>
    </w:p>
    <w:p>
      <w:pPr>
        <w:adjustRightInd w:val="0"/>
        <w:spacing w:line="560" w:lineRule="exact"/>
        <w:ind w:firstLine="643" w:firstLineChars="200"/>
        <w:rPr>
          <w:rFonts w:ascii="仿宋_GB2312" w:eastAsia="仿宋_GB2312"/>
          <w:b/>
          <w:bCs/>
          <w:sz w:val="32"/>
          <w:szCs w:val="32"/>
        </w:rPr>
      </w:pPr>
      <w:r>
        <w:rPr>
          <w:rFonts w:ascii="仿宋_GB2312" w:eastAsia="仿宋_GB2312"/>
          <w:b/>
          <w:bCs/>
          <w:sz w:val="32"/>
          <w:szCs w:val="32"/>
        </w:rPr>
        <w:t>——</w:t>
      </w:r>
      <w:r>
        <w:rPr>
          <w:rFonts w:hint="eastAsia" w:ascii="仿宋_GB2312" w:eastAsia="仿宋_GB2312"/>
          <w:b/>
          <w:bCs/>
          <w:sz w:val="32"/>
          <w:szCs w:val="32"/>
        </w:rPr>
        <w:t>九项“持续推进”：</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持续推进高水平应用型本科高校建设，突出优势，形成特色。加强顶层设计，编制完成学校“十四五”事业发展规划。着力做好河南省扩充遴选示范性应用技术类型本科高校相关工作，力争进入示范校行列。</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持续推进国家语言文字推广基地建设。贯彻落实全国语言文字会议精神，做好计算机辅助普通话水平测试，创新开展国家语言文字推广月系列活动，持续开展中华经典联读、青春诵读、汉字听写等语言文字类教育实践活动，提高师生语言文字应用的综合素养，丰富青年学生的课余生活，营造健康向上的文化氛围，进一步发挥国家语言文字推广基地在服务国家战略、推广中华优秀传统文化、服务教育教学的示范引领作用。</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（三）持续推进一流专业、一流课程建设，全面实施“六卓越一拔尖”人才培养计划</w:t>
      </w:r>
      <w:r>
        <w:rPr>
          <w:rFonts w:ascii="仿宋_GB2312" w:eastAsia="仿宋_GB2312"/>
          <w:sz w:val="32"/>
          <w:szCs w:val="32"/>
        </w:rPr>
        <w:t>2.0</w:t>
      </w:r>
      <w:r>
        <w:rPr>
          <w:rFonts w:hint="eastAsia" w:ascii="仿宋_GB2312" w:eastAsia="仿宋_GB2312"/>
          <w:sz w:val="32"/>
          <w:szCs w:val="32"/>
        </w:rPr>
        <w:t>和“双万计划”。重点开展师范类、新工科专业认证工作，力争取得一流本科专业、一流本科课程建设和师范认证、工程教育认证的新成效。充分发挥学科竞赛平台作用，培养学生创新能力，全面提高学生的综合素质。</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（四）持续推进重点学科建设，加大培育地方经济社会发展急需、有地域特色和比较优势的学科力度，打造水平高、特色鲜明的重点学科群。着力推进硕士学位授权立项建设单位的建设工作。</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（五）持续推进体育、艺术、劳动素养、国防教育，积极开展阳光体育运动、艺术展演、义务劳动、学生军训等专项活动，提升军事理论课程质量，大力推动</w:t>
      </w:r>
      <w:r>
        <w:rPr>
          <w:rFonts w:ascii="仿宋_GB2312" w:eastAsia="仿宋_GB2312"/>
          <w:sz w:val="32"/>
          <w:szCs w:val="32"/>
        </w:rPr>
        <w:t>2021</w:t>
      </w:r>
      <w:r>
        <w:rPr>
          <w:rFonts w:hint="eastAsia" w:ascii="仿宋_GB2312" w:eastAsia="仿宋_GB2312"/>
          <w:sz w:val="32"/>
          <w:szCs w:val="32"/>
        </w:rPr>
        <w:t>年征兵工作，引导师生树牢国防观念，培养德智体美劳全面发展的社会主义事业建设者。</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（六）持续推进省级重点项目和试点建设，加速推进河南省现代学校制度建设试点单位、省级本科高校课程思政教学研究示范中心、河南省本科生学业导师制改革试点高校、省级众创空间、河南省</w:t>
      </w:r>
      <w:r>
        <w:rPr>
          <w:rFonts w:ascii="仿宋_GB2312" w:eastAsia="仿宋_GB2312"/>
          <w:sz w:val="32"/>
          <w:szCs w:val="32"/>
        </w:rPr>
        <w:t>3D</w:t>
      </w:r>
      <w:r>
        <w:rPr>
          <w:rFonts w:hint="eastAsia" w:ascii="仿宋_GB2312" w:eastAsia="仿宋_GB2312"/>
          <w:sz w:val="32"/>
          <w:szCs w:val="32"/>
        </w:rPr>
        <w:t>打印产业技术创新战略联盟、河南省</w:t>
      </w:r>
      <w:r>
        <w:rPr>
          <w:rFonts w:ascii="仿宋_GB2312" w:eastAsia="仿宋_GB2312"/>
          <w:sz w:val="32"/>
          <w:szCs w:val="32"/>
        </w:rPr>
        <w:t>3D</w:t>
      </w:r>
      <w:r>
        <w:rPr>
          <w:rFonts w:hint="eastAsia" w:ascii="仿宋_GB2312" w:eastAsia="仿宋_GB2312"/>
          <w:sz w:val="32"/>
          <w:szCs w:val="32"/>
        </w:rPr>
        <w:t>打印技术工程研究中心、河南省中小学教师校长研修院的建设工作，在做深做实做细上下功夫，以优异的成绩争取获批更多高层次项目和试点。</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（七）持续推进产教融合，吸纳更多优势资源，深化校企合作、校地合作，加快生物与医药现代产业学院等</w:t>
      </w:r>
      <w:r>
        <w:rPr>
          <w:rFonts w:ascii="仿宋_GB2312" w:eastAsia="仿宋_GB2312"/>
          <w:sz w:val="32"/>
          <w:szCs w:val="32"/>
        </w:rPr>
        <w:t>6</w:t>
      </w:r>
      <w:r>
        <w:rPr>
          <w:rFonts w:hint="eastAsia" w:ascii="仿宋_GB2312" w:eastAsia="仿宋_GB2312"/>
          <w:sz w:val="32"/>
          <w:szCs w:val="32"/>
        </w:rPr>
        <w:t>个重点产业学院建设步伐，切实发挥好示范引领作用。大力推进爱创工程训练中心建设工作。</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（八）持续推进智慧校园和重点工程建设，夯实硬件基础，优化校园环境。加速推进我校智慧教学环境建设，着力推进“智慧校园、智慧教室、智慧课堂”落地见效；重点开展人才公寓、</w:t>
      </w:r>
      <w:r>
        <w:rPr>
          <w:rFonts w:ascii="仿宋_GB2312" w:eastAsia="仿宋_GB2312"/>
          <w:sz w:val="32"/>
          <w:szCs w:val="32"/>
        </w:rPr>
        <w:t>A08</w:t>
      </w:r>
      <w:r>
        <w:rPr>
          <w:rFonts w:hint="eastAsia" w:ascii="仿宋_GB2312" w:eastAsia="仿宋_GB2312"/>
          <w:sz w:val="32"/>
          <w:szCs w:val="32"/>
        </w:rPr>
        <w:t>综合教学楼、第三餐厅和宿舍项目，积极推进研修院大楼、医学校区的规划设计及项目立项报建工作。着力推进校园二次规划工作，加大校史馆建设力度。</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（九）持续推进后勤服务层级化管理、程序化管理和精细化管理。全面推进金穗校区供暖管网改造项目，推进餐厅</w:t>
      </w:r>
      <w:r>
        <w:rPr>
          <w:rFonts w:ascii="仿宋_GB2312" w:eastAsia="仿宋_GB2312"/>
          <w:sz w:val="32"/>
          <w:szCs w:val="32"/>
        </w:rPr>
        <w:t>BOT</w:t>
      </w:r>
      <w:r>
        <w:rPr>
          <w:rFonts w:hint="eastAsia" w:ascii="仿宋_GB2312" w:eastAsia="仿宋_GB2312"/>
          <w:sz w:val="32"/>
          <w:szCs w:val="32"/>
        </w:rPr>
        <w:t>模式改革，积极开展公共区域的物业改革。</w:t>
      </w:r>
    </w:p>
    <w:p>
      <w:pPr>
        <w:adjustRightInd w:val="0"/>
        <w:spacing w:line="560" w:lineRule="exact"/>
        <w:ind w:firstLine="643" w:firstLineChars="200"/>
        <w:rPr>
          <w:rFonts w:ascii="仿宋_GB2312" w:eastAsia="仿宋_GB2312"/>
          <w:b/>
          <w:bCs/>
          <w:sz w:val="32"/>
          <w:szCs w:val="32"/>
        </w:rPr>
      </w:pPr>
      <w:r>
        <w:rPr>
          <w:rFonts w:ascii="仿宋_GB2312" w:eastAsia="仿宋_GB2312"/>
          <w:b/>
          <w:bCs/>
          <w:sz w:val="32"/>
          <w:szCs w:val="32"/>
        </w:rPr>
        <w:t>——</w:t>
      </w:r>
      <w:r>
        <w:rPr>
          <w:rFonts w:hint="eastAsia" w:ascii="仿宋_GB2312" w:eastAsia="仿宋_GB2312"/>
          <w:b/>
          <w:bCs/>
          <w:sz w:val="32"/>
          <w:szCs w:val="32"/>
        </w:rPr>
        <w:t>十项“深化改革”：</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化新时代思想政治理论课和“课程思政”改革。坚持把“德育”摆在首位，全面提升思想政治工作质量，深入推进思政课程与课程思政在实施“五育并举”上同向同行，实现德智体美劳的统一。探索建立课程思政、专业思政、全员思政的大思政教育体系。</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化教育综合改革。抓好《深化新时代教育评价改革总体方案》的实施，狠抓学习培训，按照负面清单全面清理规范，破除“五唯”顽瘴痼疾。全面启动学校审核评估工作，贯彻落实教育部《普通高等学校本科教育教学审核评估实施方案（</w:t>
      </w:r>
      <w:r>
        <w:rPr>
          <w:rFonts w:ascii="仿宋_GB2312" w:eastAsia="仿宋_GB2312"/>
          <w:sz w:val="32"/>
          <w:szCs w:val="32"/>
        </w:rPr>
        <w:t>2021—2025</w:t>
      </w:r>
      <w:r>
        <w:rPr>
          <w:rFonts w:hint="eastAsia" w:ascii="仿宋_GB2312" w:eastAsia="仿宋_GB2312"/>
          <w:sz w:val="32"/>
          <w:szCs w:val="32"/>
        </w:rPr>
        <w:t>年）》。</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（三）深化完全学分制改革。以学生发展为中心，主动适应地方经济社会对人才培养的需求，强力推进</w:t>
      </w:r>
      <w:r>
        <w:rPr>
          <w:rFonts w:ascii="仿宋_GB2312" w:eastAsia="仿宋_GB2312"/>
          <w:sz w:val="32"/>
          <w:szCs w:val="32"/>
        </w:rPr>
        <w:t>2020</w:t>
      </w:r>
      <w:r>
        <w:rPr>
          <w:rFonts w:hint="eastAsia" w:ascii="仿宋_GB2312" w:eastAsia="仿宋_GB2312"/>
          <w:sz w:val="32"/>
          <w:szCs w:val="32"/>
        </w:rPr>
        <w:t>版人才培养方案落地实施，完善学生选课制度，满足广大学生自主发展、多样化成才的需要，不断提升应用型人才培养质量。</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（四）深化专业设置改革。根据招生规模变化以及就业市场需求，建立健全专业增设、调整与退出的动态调整机制，优化专业结构与布局，促进专业内涵式发展。</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（五）深化国际合作办学机制改革。持续深入实施教育部《推进共建</w:t>
      </w:r>
      <w:r>
        <w:rPr>
          <w:rFonts w:ascii="仿宋_GB2312" w:eastAsia="仿宋_GB2312"/>
          <w:sz w:val="32"/>
          <w:szCs w:val="32"/>
        </w:rPr>
        <w:t>“</w:t>
      </w:r>
      <w:r>
        <w:rPr>
          <w:rFonts w:hint="eastAsia" w:ascii="仿宋_GB2312" w:eastAsia="仿宋_GB2312"/>
          <w:sz w:val="32"/>
          <w:szCs w:val="32"/>
        </w:rPr>
        <w:t>一带一路</w:t>
      </w:r>
      <w:r>
        <w:rPr>
          <w:rFonts w:ascii="仿宋_GB2312" w:eastAsia="仿宋_GB2312"/>
          <w:sz w:val="32"/>
          <w:szCs w:val="32"/>
        </w:rPr>
        <w:t xml:space="preserve">” </w:t>
      </w:r>
      <w:r>
        <w:rPr>
          <w:rFonts w:hint="eastAsia" w:ascii="仿宋_GB2312" w:eastAsia="仿宋_GB2312"/>
          <w:sz w:val="32"/>
          <w:szCs w:val="32"/>
        </w:rPr>
        <w:t>教育行动》，巩固现有国际合作办学成果，积极拓展新的交流合作项目，进一步提升中外合作办学质量。</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六）深化考核评价体系改革。贯彻落实《关于加强新时代高校教师队伍建设改革的指导意见》。做好“三定”工作。修订教学工作量、科研工作量计算办法。按照党建高质量和事业发展高质量考核指标体系，以体现实绩和贡献为导向，加快推进目标管理责任制落地实施。深化分配制度改革，改革完善考核评价机制，激发事业发展活力。</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（七）深化人才发展体制机制改革。修订完善高层次人才引进和考核办法，打造高层次人才服务平台，加大高层次人才引进力度，扎实推进人才队伍建设计划。</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（八）深化“放管服”改革。以完善现代大学治理体系为目标，进一步深化学校内部体制机制改革，推进建立校院两级管理体系。</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九）深化科技创新机制改革。围绕产出更多高水平科技成果和高层次科研项目、建设更多高层次科研平台，推进平台、团队、人才协同发展，积极推动科研管理体制改革创新，加速推进科技成果转化和技术转移转化，完善科研考评体系及工作机制，调动广大教师的科研积极性、主动性、创造力，激发高水平应用性科研的创新活力，不断提升科研工作质量。</w:t>
      </w: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十）深化财务和审计管理机制改革。加强财务精细化管理，科学合理分配资金使用，大力推进开源节流，积极争取上级拨款和专项债券。完善审计机制，重点做好离任干部经济审计工作及图书馆决算的审计工作，提高审计实效。</w:t>
      </w:r>
    </w:p>
    <w:p>
      <w:pPr>
        <w:adjustRightInd w:val="0"/>
        <w:snapToGrid w:val="0"/>
        <w:spacing w:line="560" w:lineRule="exact"/>
        <w:ind w:firstLine="627" w:firstLineChars="196"/>
        <w:jc w:val="left"/>
        <w:rPr>
          <w:rFonts w:ascii="黑体" w:hAnsi="黑体" w:eastAsia="黑体" w:cs="黑体"/>
          <w:sz w:val="32"/>
          <w:szCs w:val="32"/>
        </w:rPr>
      </w:pPr>
      <w:r>
        <w:rPr>
          <w:rFonts w:hint="eastAsia" w:ascii="黑体" w:hAnsi="黑体" w:eastAsia="黑体" w:cs="黑体"/>
          <w:sz w:val="32"/>
          <w:szCs w:val="32"/>
        </w:rPr>
        <w:t>一、坚持和加强党的全面领导，以高质量党建引领高质量发展</w:t>
      </w:r>
    </w:p>
    <w:p>
      <w:pPr>
        <w:adjustRightInd w:val="0"/>
        <w:snapToGrid w:val="0"/>
        <w:spacing w:line="560" w:lineRule="exact"/>
        <w:rPr>
          <w:rFonts w:ascii="仿宋_GB2312" w:hAnsi="Arial" w:eastAsia="仿宋_GB2312" w:cs="Arial"/>
          <w:sz w:val="32"/>
          <w:szCs w:val="32"/>
        </w:rPr>
      </w:pPr>
      <w:r>
        <w:rPr>
          <w:rFonts w:ascii="仿宋_GB2312" w:hAnsi="Arial" w:eastAsia="仿宋_GB2312" w:cs="Arial"/>
          <w:b/>
          <w:bCs/>
          <w:sz w:val="32"/>
          <w:szCs w:val="32"/>
        </w:rPr>
        <w:t xml:space="preserve">    1.</w:t>
      </w:r>
      <w:r>
        <w:rPr>
          <w:rFonts w:hint="eastAsia" w:ascii="仿宋_GB2312" w:hAnsi="Arial" w:eastAsia="仿宋_GB2312" w:cs="Arial"/>
          <w:b/>
          <w:bCs/>
          <w:sz w:val="32"/>
          <w:szCs w:val="32"/>
        </w:rPr>
        <w:t>坚持用习近平新时代中国特色社会主义思想武装师生。</w:t>
      </w:r>
      <w:r>
        <w:rPr>
          <w:rFonts w:hint="eastAsia" w:ascii="仿宋_GB2312" w:hAnsi="Arial" w:eastAsia="仿宋_GB2312" w:cs="Arial"/>
          <w:sz w:val="32"/>
          <w:szCs w:val="32"/>
        </w:rPr>
        <w:t>持续巩固深化“不忘初心、牢记使命”主题教育成果，建立健全相关制度。持续推进“两学一做”学习教育常态化制度化。在学懂弄通做实习近平新时代中国特色社会主义思想上下功夫</w:t>
      </w:r>
      <w:r>
        <w:rPr>
          <w:rFonts w:ascii="仿宋_GB2312" w:hAnsi="Arial" w:eastAsia="仿宋_GB2312" w:cs="Arial"/>
          <w:sz w:val="32"/>
          <w:szCs w:val="32"/>
        </w:rPr>
        <w:t>,</w:t>
      </w:r>
      <w:r>
        <w:rPr>
          <w:rFonts w:hint="eastAsia" w:ascii="仿宋_GB2312" w:hAnsi="Arial" w:eastAsia="仿宋_GB2312" w:cs="Arial"/>
          <w:sz w:val="32"/>
          <w:szCs w:val="32"/>
        </w:rPr>
        <w:t>把学习成果转化为推进学校高质量发展的动力。将十九届五中全会精神和习近平总书记最新重要指示批示精神列入中心组理论学习、党员干部培训、思政课骨干教师培训重点。跟进学习习近平总书记最新重要论述，推动新思想新理论进课堂、进教材、进头脑。提升认识，准确把握高等教育高质量发展面临的形势任务。</w:t>
      </w:r>
    </w:p>
    <w:p>
      <w:pPr>
        <w:adjustRightInd w:val="0"/>
        <w:snapToGrid w:val="0"/>
        <w:spacing w:line="560" w:lineRule="exact"/>
        <w:ind w:firstLine="640"/>
        <w:rPr>
          <w:rFonts w:ascii="仿宋_GB2312" w:hAnsi="Arial" w:eastAsia="仿宋_GB2312" w:cs="Arial"/>
          <w:sz w:val="32"/>
          <w:szCs w:val="32"/>
        </w:rPr>
      </w:pPr>
      <w:r>
        <w:rPr>
          <w:rFonts w:ascii="仿宋_GB2312" w:hAnsi="Arial" w:eastAsia="仿宋_GB2312" w:cs="Arial"/>
          <w:b/>
          <w:sz w:val="32"/>
          <w:szCs w:val="32"/>
        </w:rPr>
        <w:t>2.</w:t>
      </w:r>
      <w:r>
        <w:rPr>
          <w:rFonts w:hint="eastAsia" w:ascii="仿宋_GB2312" w:hAnsi="Arial" w:eastAsia="仿宋_GB2312" w:cs="Arial"/>
          <w:b/>
          <w:sz w:val="32"/>
          <w:szCs w:val="32"/>
        </w:rPr>
        <w:t>扎实开展党史学习教育。</w:t>
      </w:r>
      <w:r>
        <w:rPr>
          <w:rFonts w:hint="eastAsia" w:ascii="仿宋_GB2312" w:hAnsi="Arial" w:eastAsia="仿宋_GB2312" w:cs="Arial"/>
          <w:sz w:val="32"/>
          <w:szCs w:val="32"/>
        </w:rPr>
        <w:t>按照《中共中央关于在全党开展党史学习教育的通知》要求，在全校深入开展党史学习教育</w:t>
      </w:r>
      <w:r>
        <w:rPr>
          <w:rFonts w:ascii="仿宋_GB2312" w:hAnsi="Arial" w:eastAsia="仿宋_GB2312" w:cs="Arial"/>
          <w:sz w:val="32"/>
          <w:szCs w:val="32"/>
        </w:rPr>
        <w:t>,</w:t>
      </w:r>
      <w:r>
        <w:rPr>
          <w:rFonts w:hint="eastAsia" w:ascii="仿宋_GB2312" w:hAnsi="Arial" w:eastAsia="仿宋_GB2312" w:cs="Arial"/>
          <w:sz w:val="32"/>
          <w:szCs w:val="32"/>
        </w:rPr>
        <w:t>同时开展新中国史、改革开放史、社会主义发展史学习教育。坚持集中学习和自主学习相结合，提高思想站位，立足实际、守正创新，高标准高质量完成学习教育各项任务。</w:t>
      </w:r>
    </w:p>
    <w:p>
      <w:pPr>
        <w:adjustRightInd w:val="0"/>
        <w:snapToGrid w:val="0"/>
        <w:spacing w:line="560" w:lineRule="exact"/>
        <w:ind w:firstLine="640"/>
        <w:rPr>
          <w:rFonts w:ascii="仿宋_GB2312" w:hAnsi="Arial" w:eastAsia="仿宋_GB2312" w:cs="Arial"/>
          <w:sz w:val="32"/>
          <w:szCs w:val="32"/>
        </w:rPr>
      </w:pPr>
      <w:r>
        <w:rPr>
          <w:rFonts w:ascii="仿宋_GB2312" w:hAnsi="Arial" w:eastAsia="仿宋_GB2312" w:cs="Arial"/>
          <w:b/>
          <w:bCs/>
          <w:sz w:val="32"/>
          <w:szCs w:val="32"/>
        </w:rPr>
        <w:t>3.</w:t>
      </w:r>
      <w:r>
        <w:rPr>
          <w:rFonts w:hint="eastAsia" w:ascii="仿宋_GB2312" w:hAnsi="Arial" w:eastAsia="仿宋_GB2312" w:cs="Arial"/>
          <w:b/>
          <w:bCs/>
          <w:sz w:val="32"/>
          <w:szCs w:val="32"/>
        </w:rPr>
        <w:t>开展建党</w:t>
      </w:r>
      <w:r>
        <w:rPr>
          <w:rFonts w:ascii="仿宋_GB2312" w:hAnsi="Arial" w:eastAsia="仿宋_GB2312" w:cs="Arial"/>
          <w:b/>
          <w:bCs/>
          <w:sz w:val="32"/>
          <w:szCs w:val="32"/>
        </w:rPr>
        <w:t>100</w:t>
      </w:r>
      <w:r>
        <w:rPr>
          <w:rFonts w:hint="eastAsia" w:ascii="仿宋_GB2312" w:hAnsi="Arial" w:eastAsia="仿宋_GB2312" w:cs="Arial"/>
          <w:b/>
          <w:bCs/>
          <w:sz w:val="32"/>
          <w:szCs w:val="32"/>
        </w:rPr>
        <w:t>周年系列庆祝活动。</w:t>
      </w:r>
      <w:r>
        <w:rPr>
          <w:rFonts w:hint="eastAsia" w:ascii="仿宋_GB2312" w:hAnsi="Arial" w:eastAsia="仿宋_GB2312" w:cs="Arial"/>
          <w:sz w:val="32"/>
          <w:szCs w:val="32"/>
        </w:rPr>
        <w:t>紧紧围绕建党</w:t>
      </w:r>
      <w:r>
        <w:rPr>
          <w:rFonts w:ascii="仿宋_GB2312" w:hAnsi="Arial" w:eastAsia="仿宋_GB2312" w:cs="Arial"/>
          <w:sz w:val="32"/>
          <w:szCs w:val="32"/>
        </w:rPr>
        <w:t>100</w:t>
      </w:r>
      <w:r>
        <w:rPr>
          <w:rFonts w:hint="eastAsia" w:ascii="仿宋_GB2312" w:hAnsi="Arial" w:eastAsia="仿宋_GB2312" w:cs="Arial"/>
          <w:sz w:val="32"/>
          <w:szCs w:val="32"/>
        </w:rPr>
        <w:t>周年组织开展迎接、庆祝活动。认真组织好中央有关庆祝活动的收听收看宣传工作。营造“党的盛典、人民的节日”团结奋进、开创新局的浓厚氛围。组织引导离退休党员在讲好“四史”中发挥独特作用。</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sz w:val="32"/>
          <w:szCs w:val="32"/>
        </w:rPr>
        <w:t>4.</w:t>
      </w:r>
      <w:r>
        <w:rPr>
          <w:rFonts w:hint="eastAsia" w:ascii="仿宋_GB2312" w:hAnsi="Arial" w:eastAsia="仿宋_GB2312" w:cs="Arial"/>
          <w:b/>
          <w:sz w:val="32"/>
          <w:szCs w:val="32"/>
        </w:rPr>
        <w:t>持续加强基层党组织建设。</w:t>
      </w:r>
      <w:r>
        <w:rPr>
          <w:rFonts w:hint="eastAsia" w:ascii="仿宋_GB2312" w:hAnsi="Arial" w:eastAsia="仿宋_GB2312" w:cs="Arial"/>
          <w:sz w:val="32"/>
          <w:szCs w:val="32"/>
        </w:rPr>
        <w:t>落实《中国共产党普通高等学校基层组织工作条例》，持续推动“对标争先”计划、“两化一创”强基引领三年行动计划，做好收官阶段提质引领；继续推进实施“双带头人”培育工程；高标准做好党员发展和教育管理工作。重点在教师队伍中发展党员。加强党务人员业务培训，提升管理和服务水平。</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5.</w:t>
      </w:r>
      <w:r>
        <w:rPr>
          <w:rFonts w:hint="eastAsia" w:ascii="仿宋_GB2312" w:hAnsi="Arial" w:eastAsia="仿宋_GB2312" w:cs="Arial"/>
          <w:b/>
          <w:bCs/>
          <w:sz w:val="32"/>
          <w:szCs w:val="32"/>
        </w:rPr>
        <w:t>努力锻造高素质干部队伍。</w:t>
      </w:r>
      <w:r>
        <w:rPr>
          <w:rFonts w:hint="eastAsia" w:ascii="仿宋_GB2312" w:hAnsi="Arial" w:eastAsia="仿宋_GB2312" w:cs="Arial"/>
          <w:sz w:val="32"/>
          <w:szCs w:val="32"/>
        </w:rPr>
        <w:t>加强各级领导班子能力和作风建设。落实领导干部“七进”工作制度、党员领导干部联系党支部等制度。树立选人用人新风正气，完善干部选拔任用机制，选拔、配齐各级干部队伍。开展优秀年轻干部调研，完善年轻干部的培养和选用机制。加强干部分类培训，提升干部综合能力。拓宽干部锻炼渠道，通过挂职等让干部在基层一线、艰苦地区锻炼成长。持续完善干部考核评价体系，创新干部监督管理模式。</w:t>
      </w:r>
    </w:p>
    <w:p>
      <w:pPr>
        <w:adjustRightInd w:val="0"/>
        <w:spacing w:line="560" w:lineRule="exact"/>
        <w:ind w:firstLine="643"/>
        <w:rPr>
          <w:rFonts w:ascii="仿宋_GB2312" w:hAnsi="Arial" w:eastAsia="仿宋_GB2312" w:cs="Arial"/>
          <w:sz w:val="32"/>
          <w:szCs w:val="32"/>
        </w:rPr>
      </w:pPr>
      <w:r>
        <w:rPr>
          <w:rFonts w:ascii="仿宋_GB2312" w:hAnsi="Arial" w:eastAsia="仿宋_GB2312" w:cs="Arial"/>
          <w:b/>
          <w:color w:val="000000"/>
          <w:sz w:val="32"/>
          <w:szCs w:val="32"/>
        </w:rPr>
        <w:t>6.</w:t>
      </w:r>
      <w:r>
        <w:rPr>
          <w:rFonts w:hint="eastAsia" w:ascii="仿宋_GB2312" w:hAnsi="Arial" w:eastAsia="仿宋_GB2312" w:cs="Arial"/>
          <w:b/>
          <w:sz w:val="32"/>
          <w:szCs w:val="32"/>
        </w:rPr>
        <w:t>推动全面从严治党向纵深发展。</w:t>
      </w:r>
      <w:r>
        <w:rPr>
          <w:rFonts w:hint="eastAsia" w:ascii="仿宋_GB2312" w:hAnsi="Arial" w:eastAsia="仿宋_GB2312" w:cs="Arial"/>
          <w:sz w:val="32"/>
          <w:szCs w:val="32"/>
        </w:rPr>
        <w:t>持之以恒推进作风建设，进一步健全纠治“四风”长效机制，巩固拓展作风建设成效，精准有效运用监督执纪“四种形态”，推进全面从严治党向纵深发展。认真贯彻落实全面从严治党责任清单，扎实推进巡视整改常态化长效化。开展第二、三轮校内巡察工作，督促基层党组织切实履行主体责任。完善中层干部廉政谈话提醒诫勉制度和干部廉政档案建设机制，加强对党员干部特别是领导干部的动态监督。做好以案促改工作，抓好警示教育和廉政文化建设。</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7.</w:t>
      </w:r>
      <w:r>
        <w:rPr>
          <w:rFonts w:hint="eastAsia" w:ascii="仿宋_GB2312" w:hAnsi="Arial" w:eastAsia="仿宋_GB2312" w:cs="Arial"/>
          <w:b/>
          <w:bCs/>
          <w:sz w:val="32"/>
          <w:szCs w:val="32"/>
        </w:rPr>
        <w:t>全面推进统战群团工作。</w:t>
      </w:r>
      <w:r>
        <w:rPr>
          <w:rFonts w:hint="eastAsia" w:ascii="仿宋_GB2312" w:hAnsi="Arial" w:eastAsia="仿宋_GB2312" w:cs="Arial"/>
          <w:sz w:val="32"/>
          <w:szCs w:val="32"/>
        </w:rPr>
        <w:t>深入贯彻落实习近平总书记关于统一战线工作重要讲话精神，大力推进校领导联系民主党派和党外人士制度，发挥民主党派在三全育人、学科发展、乡村振兴、文化创新等方面的积极作用。进一步深化河南省高校统战工作示范单位建设，加强党外知识分子思想政治引领，推动统战媒体融合发展。巩固系列活动成果，进一步提高统战工作实效。切实增强工会、群团组织凝聚力向心力，提升师生员工幸福感满意度。召开新乡学院三届一次教代会，保障职工合法权益。创建命名一批校级“示范性劳模和工匠人才创新工作室”。为申报省级“示范性劳模和工匠人才创新工作室”锻炼队伍、储备人才。培育、打造一批展现新乡学院女工精神风貌的志愿服务活动。以庆祝建党</w:t>
      </w:r>
      <w:r>
        <w:rPr>
          <w:rFonts w:ascii="仿宋_GB2312" w:hAnsi="Arial" w:eastAsia="仿宋_GB2312" w:cs="Arial"/>
          <w:sz w:val="32"/>
          <w:szCs w:val="32"/>
        </w:rPr>
        <w:t>100</w:t>
      </w:r>
      <w:r>
        <w:rPr>
          <w:rFonts w:hint="eastAsia" w:ascii="仿宋_GB2312" w:hAnsi="Arial" w:eastAsia="仿宋_GB2312" w:cs="Arial"/>
          <w:sz w:val="32"/>
          <w:szCs w:val="32"/>
        </w:rPr>
        <w:t>周年为契机，加强团员青年的思想政治引领，以“第二课堂”建设为抓手，助力青年成长成才，持续推进共青团和学生组织改革。</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8.</w:t>
      </w:r>
      <w:r>
        <w:rPr>
          <w:rFonts w:hint="eastAsia" w:ascii="仿宋_GB2312" w:hAnsi="Arial" w:eastAsia="仿宋_GB2312" w:cs="Arial"/>
          <w:b/>
          <w:bCs/>
          <w:sz w:val="32"/>
          <w:szCs w:val="32"/>
        </w:rPr>
        <w:t>持续深化校园精神文明建设成果。</w:t>
      </w:r>
      <w:r>
        <w:rPr>
          <w:rFonts w:hint="eastAsia" w:ascii="仿宋_GB2312" w:hAnsi="Arial" w:eastAsia="仿宋_GB2312" w:cs="Arial"/>
          <w:sz w:val="32"/>
          <w:szCs w:val="32"/>
        </w:rPr>
        <w:t>积极培育和践行社会主义核心价值观，大力开展爱国主义教育，深入开展诚信教育、孝敬教育、勤劳节俭教育活动。做好</w:t>
      </w:r>
      <w:r>
        <w:rPr>
          <w:rFonts w:hint="eastAsia" w:ascii="仿宋_GB2312" w:hAnsi="Arial" w:eastAsia="仿宋_GB2312" w:cs="Arial"/>
          <w:sz w:val="32"/>
          <w:szCs w:val="32"/>
          <w:lang w:eastAsia="zh-CN"/>
        </w:rPr>
        <w:t>河南省文明校园</w:t>
      </w:r>
      <w:r>
        <w:rPr>
          <w:rFonts w:hint="eastAsia" w:ascii="仿宋_GB2312" w:hAnsi="Arial" w:eastAsia="仿宋_GB2312" w:cs="Arial"/>
          <w:sz w:val="32"/>
          <w:szCs w:val="32"/>
        </w:rPr>
        <w:t>复审检查各项工作。积极参与新乡市全国文明城市创建常态化管理和年度复检工作。做好《新乡学院“十四五”大学文化建设规划》编制工作。加强校园文化环境建设，精心打造“数字校园”、“人文校园”。做好新乡学院无烟单位创建工作，以师生健康权益为目标，切实提升我校办公环境品质，进一步深化我校精神文明建设成果。</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9.</w:t>
      </w:r>
      <w:r>
        <w:rPr>
          <w:rFonts w:hint="eastAsia" w:ascii="仿宋_GB2312" w:hAnsi="Arial" w:eastAsia="仿宋_GB2312" w:cs="Arial"/>
          <w:b/>
          <w:bCs/>
          <w:sz w:val="32"/>
          <w:szCs w:val="32"/>
        </w:rPr>
        <w:t>加强党对意识形态工作的领导。</w:t>
      </w:r>
      <w:r>
        <w:rPr>
          <w:rFonts w:hint="eastAsia" w:ascii="仿宋_GB2312" w:hAnsi="Arial" w:eastAsia="仿宋_GB2312" w:cs="Arial"/>
          <w:sz w:val="32"/>
          <w:szCs w:val="32"/>
        </w:rPr>
        <w:t>坚持马克思主义在意识形态领域指导地位，牢牢掌握意识形态工作的领导权话语权。深入贯彻落实党委意识形态工作责任制实施细则。强化马克思主义理论及相关学科课程的意识形态属性。提高意识形态工作制度化规范化水平，完善意识形态领域制度建设，严格执行意识形态阵地管理各项规定，完善意识形态工作联席会议工作机制，及时掌握意识形态领域动向及风险，加强风险研判和舆情处置。</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10.</w:t>
      </w:r>
      <w:r>
        <w:rPr>
          <w:rFonts w:hint="eastAsia" w:ascii="仿宋_GB2312" w:hAnsi="Arial" w:eastAsia="仿宋_GB2312" w:cs="Arial"/>
          <w:b/>
          <w:bCs/>
          <w:sz w:val="32"/>
          <w:szCs w:val="32"/>
        </w:rPr>
        <w:t>持续助力乡村振兴</w:t>
      </w:r>
      <w:r>
        <w:rPr>
          <w:rFonts w:hint="eastAsia" w:ascii="仿宋_GB2312" w:hAnsi="Arial" w:eastAsia="仿宋_GB2312" w:cs="Arial"/>
          <w:sz w:val="32"/>
          <w:szCs w:val="32"/>
        </w:rPr>
        <w:t>。认真贯彻中央、省、市精神，在巩固拓展脱贫攻坚成果的基础上，助力乡村振兴。落实好“四个不摘”要求，继续推进校地帮扶工作</w:t>
      </w:r>
      <w:r>
        <w:rPr>
          <w:rFonts w:hint="eastAsia" w:ascii="仿宋_GB2312" w:hAnsi="Arial" w:eastAsia="仿宋_GB2312" w:cs="Arial"/>
          <w:color w:val="FF0000"/>
          <w:sz w:val="32"/>
          <w:szCs w:val="32"/>
          <w:lang w:eastAsia="zh-CN"/>
        </w:rPr>
        <w:t>，</w:t>
      </w:r>
      <w:r>
        <w:rPr>
          <w:rFonts w:hint="eastAsia" w:ascii="仿宋_GB2312" w:hAnsi="Arial" w:eastAsia="仿宋_GB2312" w:cs="Arial"/>
          <w:sz w:val="32"/>
          <w:szCs w:val="32"/>
        </w:rPr>
        <w:t>保持投入力度不减；做好驻村第一书记和驻村队员轮换工作；做好帮扶指导、管理、协调、培训和服务工作等，为助力乡村振兴提供支持。</w:t>
      </w:r>
    </w:p>
    <w:p>
      <w:pPr>
        <w:adjustRightInd w:val="0"/>
        <w:snapToGrid w:val="0"/>
        <w:spacing w:line="560" w:lineRule="exact"/>
        <w:ind w:firstLine="643" w:firstLineChars="200"/>
        <w:rPr>
          <w:rFonts w:ascii="仿宋_GB2312" w:hAnsi="Arial" w:eastAsia="仿宋_GB2312" w:cs="Arial"/>
          <w:sz w:val="32"/>
          <w:szCs w:val="32"/>
        </w:rPr>
      </w:pPr>
      <w:r>
        <w:rPr>
          <w:rFonts w:ascii="仿宋_GB2312" w:hAnsi="Arial" w:eastAsia="仿宋_GB2312" w:cs="Arial"/>
          <w:b/>
          <w:bCs/>
          <w:sz w:val="32"/>
          <w:szCs w:val="32"/>
        </w:rPr>
        <w:t>11.</w:t>
      </w:r>
      <w:r>
        <w:rPr>
          <w:rFonts w:hint="eastAsia" w:ascii="仿宋_GB2312" w:hAnsi="Arial" w:eastAsia="仿宋_GB2312" w:cs="Arial"/>
          <w:b/>
          <w:bCs/>
          <w:sz w:val="32"/>
          <w:szCs w:val="32"/>
        </w:rPr>
        <w:t>毫不放松抓好常态化疫情防控。</w:t>
      </w:r>
      <w:r>
        <w:rPr>
          <w:rFonts w:hint="eastAsia" w:ascii="仿宋_GB2312" w:hAnsi="Arial" w:eastAsia="仿宋_GB2312" w:cs="Arial"/>
          <w:sz w:val="32"/>
          <w:szCs w:val="32"/>
        </w:rPr>
        <w:t>深入贯彻习近平总书记有关疫情防控重要讲话和重要指示批示精神，坚持人物同防、多病共防，落实国家卫生健康委、教育部印发的疫情防控技术方案，确保人员、物资、制度、预警到位，确保“四早”精准落实。细化防控应急预案，做好应对突发疫情的准备，确保校园安全和教学管理有序开展。完善校园常态化疫情防控工作体系建设，完善师生错峰返校、线上线下教学、校园安全、后勤保障、宣传引导、人员健康管理、校园环境整治、物资储备、心理疏导等工作。把握疫情防控契机，加强对师生思想政治引领；完善联防联控工作机制</w:t>
      </w:r>
      <w:r>
        <w:rPr>
          <w:rFonts w:ascii="仿宋_GB2312" w:hAnsi="Arial" w:eastAsia="仿宋_GB2312" w:cs="Arial"/>
          <w:sz w:val="32"/>
          <w:szCs w:val="32"/>
        </w:rPr>
        <w:t>,</w:t>
      </w:r>
      <w:r>
        <w:rPr>
          <w:rFonts w:hint="eastAsia" w:ascii="仿宋_GB2312" w:hAnsi="Arial" w:eastAsia="仿宋_GB2312" w:cs="Arial"/>
          <w:sz w:val="32"/>
          <w:szCs w:val="32"/>
        </w:rPr>
        <w:t>加强与属地管理部门沟通联系，有序推进学校全员核酸检测和疫苗接种工作。</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二、落实立德树人根本任务，打造高质量思政体系</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12.</w:t>
      </w:r>
      <w:r>
        <w:rPr>
          <w:rFonts w:hint="eastAsia" w:ascii="仿宋_GB2312" w:eastAsia="仿宋_GB2312"/>
          <w:b/>
          <w:bCs/>
          <w:sz w:val="32"/>
          <w:szCs w:val="32"/>
        </w:rPr>
        <w:t>深化新时代思想政治理论课和“课程思政”改革。</w:t>
      </w:r>
      <w:r>
        <w:rPr>
          <w:rFonts w:hint="eastAsia" w:ascii="仿宋_GB2312" w:eastAsia="仿宋_GB2312"/>
          <w:sz w:val="32"/>
          <w:szCs w:val="32"/>
        </w:rPr>
        <w:t>注重发挥思政课主渠道作用，将党史、新乡先进群体精神、红旗渠精神融入思政教育，着力打造一批有温度的国情思政“金课”。进一步加强课程思政评价体系研究中心、课程思政教学团队、课程思政样板课程建设，建好已立项的</w:t>
      </w:r>
      <w:r>
        <w:rPr>
          <w:rFonts w:ascii="仿宋_GB2312" w:eastAsia="仿宋_GB2312"/>
          <w:sz w:val="32"/>
          <w:szCs w:val="32"/>
        </w:rPr>
        <w:t>102</w:t>
      </w:r>
      <w:r>
        <w:rPr>
          <w:rFonts w:hint="eastAsia" w:ascii="仿宋_GB2312" w:eastAsia="仿宋_GB2312"/>
          <w:sz w:val="32"/>
          <w:szCs w:val="32"/>
        </w:rPr>
        <w:t>门校级思政课程，选树</w:t>
      </w:r>
      <w:r>
        <w:rPr>
          <w:rFonts w:ascii="仿宋_GB2312" w:eastAsia="仿宋_GB2312"/>
          <w:sz w:val="32"/>
          <w:szCs w:val="32"/>
        </w:rPr>
        <w:t>3-5</w:t>
      </w:r>
      <w:r>
        <w:rPr>
          <w:rFonts w:hint="eastAsia" w:ascii="仿宋_GB2312" w:eastAsia="仿宋_GB2312"/>
          <w:sz w:val="32"/>
          <w:szCs w:val="32"/>
        </w:rPr>
        <w:t>门省级课程思政样板课程，打造</w:t>
      </w:r>
      <w:r>
        <w:rPr>
          <w:rFonts w:ascii="仿宋_GB2312" w:eastAsia="仿宋_GB2312"/>
          <w:sz w:val="32"/>
          <w:szCs w:val="32"/>
        </w:rPr>
        <w:t>1-2</w:t>
      </w:r>
      <w:r>
        <w:rPr>
          <w:rFonts w:hint="eastAsia" w:ascii="仿宋_GB2312" w:eastAsia="仿宋_GB2312"/>
          <w:sz w:val="32"/>
          <w:szCs w:val="32"/>
        </w:rPr>
        <w:t>个省级课程思政教学团队。探索建立课程思政、专业思政、全员思政的大思政教育体系。</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13.</w:t>
      </w:r>
      <w:r>
        <w:rPr>
          <w:rFonts w:hint="eastAsia" w:ascii="仿宋_GB2312" w:eastAsia="仿宋_GB2312"/>
          <w:b/>
          <w:bCs/>
          <w:sz w:val="32"/>
          <w:szCs w:val="32"/>
        </w:rPr>
        <w:t>深化学业导师制改革。</w:t>
      </w:r>
      <w:r>
        <w:rPr>
          <w:rFonts w:hint="eastAsia" w:ascii="仿宋_GB2312" w:eastAsia="仿宋_GB2312"/>
          <w:sz w:val="32"/>
          <w:szCs w:val="32"/>
        </w:rPr>
        <w:t>打造“五育并举”思想政治工作品牌，扎实开展本科生学业导师制改革试点的建设工作，创新学业导师工作体制，不断开创“三全育人”工作新局面。加强“创新引飞”导师队伍建设，完善激励机制，严格标准遴选新一届学业导师，充分发挥导师在学生思想引领、专业选择、课程选择、学业生涯规划等学业发展上的引导作用，支持学生参与科学研究和学科专业竞赛，参与社会实践和创新创业，汇聚创新引飞成果，不断提升学生科学素养和综合实力。</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14.</w:t>
      </w:r>
      <w:r>
        <w:rPr>
          <w:rFonts w:hint="eastAsia" w:ascii="仿宋_GB2312" w:eastAsia="仿宋_GB2312"/>
          <w:b/>
          <w:bCs/>
          <w:sz w:val="32"/>
          <w:szCs w:val="32"/>
        </w:rPr>
        <w:t>提升学生教育服务和管理质量。</w:t>
      </w:r>
      <w:r>
        <w:rPr>
          <w:rFonts w:hint="eastAsia" w:ascii="仿宋_GB2312" w:eastAsia="仿宋_GB2312"/>
          <w:sz w:val="32"/>
          <w:szCs w:val="32"/>
        </w:rPr>
        <w:t>按照德智体美劳全面发展的人才培养要求，深入开展体育、艺术、劳动素养、国防教育、思想政治教育、安全稳定教育、新生入学教育、心理健康教育、文明修身教育，培育和践行社会主义核心价值观。大力弘扬中华民族优秀传统，做好传统节日免费午餐工程学生特色文化活动。持续推进教育扶贫、阳光资助工程，拓宽资助渠道，规范勤工助学，开展好“百名辅导员大家访”和“诚信校园行”活动，落实好资助政策，高效、精准实施教育脱贫。加强辅导员队伍建设，组织辅导员素质能力大赛，做好学生干部管理与培训，及时关注学生诉求，建立学生思想动态调研和舆情反馈机制。围绕学风建设“八个率”，加大学风督查力度，建立学生学情预警机制，深化学风建设系列活动。推动</w:t>
      </w:r>
      <w:r>
        <w:rPr>
          <w:rFonts w:ascii="仿宋_GB2312" w:eastAsia="仿宋_GB2312"/>
          <w:sz w:val="32"/>
          <w:szCs w:val="32"/>
        </w:rPr>
        <w:t>2021</w:t>
      </w:r>
      <w:r>
        <w:rPr>
          <w:rFonts w:hint="eastAsia" w:ascii="仿宋_GB2312" w:eastAsia="仿宋_GB2312"/>
          <w:sz w:val="32"/>
          <w:szCs w:val="32"/>
        </w:rPr>
        <w:t>年征兵工作，提高大学生入伍的数量和质量，确保完成政治任务。</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三、深化教育教学改革，提升应用型人才培养质量</w:t>
      </w:r>
    </w:p>
    <w:p>
      <w:pPr>
        <w:adjustRightInd w:val="0"/>
        <w:spacing w:line="560" w:lineRule="exact"/>
        <w:ind w:firstLine="643" w:firstLineChars="200"/>
        <w:rPr>
          <w:rFonts w:ascii="仿宋_GB2312" w:eastAsia="仿宋_GB2312"/>
          <w:b/>
          <w:bCs/>
          <w:sz w:val="32"/>
          <w:szCs w:val="32"/>
        </w:rPr>
      </w:pPr>
      <w:r>
        <w:rPr>
          <w:rFonts w:ascii="仿宋_GB2312" w:eastAsia="仿宋_GB2312"/>
          <w:b/>
          <w:bCs/>
          <w:sz w:val="32"/>
          <w:szCs w:val="32"/>
        </w:rPr>
        <w:t>15.</w:t>
      </w:r>
      <w:r>
        <w:rPr>
          <w:rFonts w:hint="eastAsia" w:ascii="仿宋_GB2312" w:eastAsia="仿宋_GB2312"/>
          <w:b/>
          <w:bCs/>
          <w:sz w:val="32"/>
          <w:szCs w:val="32"/>
        </w:rPr>
        <w:t>强化一流专业建设与专业认证。</w:t>
      </w:r>
      <w:r>
        <w:rPr>
          <w:rFonts w:hint="eastAsia" w:ascii="仿宋_GB2312" w:eastAsia="仿宋_GB2312"/>
          <w:sz w:val="32"/>
          <w:szCs w:val="32"/>
        </w:rPr>
        <w:t>落实“六卓越一拔尖”人才培养计划</w:t>
      </w:r>
      <w:r>
        <w:rPr>
          <w:rFonts w:ascii="仿宋_GB2312" w:eastAsia="仿宋_GB2312"/>
          <w:sz w:val="32"/>
          <w:szCs w:val="32"/>
        </w:rPr>
        <w:t>2.0</w:t>
      </w:r>
      <w:r>
        <w:rPr>
          <w:rFonts w:hint="eastAsia" w:ascii="仿宋_GB2312" w:eastAsia="仿宋_GB2312"/>
          <w:sz w:val="32"/>
          <w:szCs w:val="32"/>
        </w:rPr>
        <w:t>和“双万计划”，贯彻落实《新乡学院学科专业建设规划（</w:t>
      </w:r>
      <w:r>
        <w:rPr>
          <w:rFonts w:ascii="仿宋_GB2312" w:eastAsia="仿宋_GB2312"/>
          <w:sz w:val="32"/>
          <w:szCs w:val="32"/>
        </w:rPr>
        <w:t>2021-2025</w:t>
      </w:r>
      <w:r>
        <w:rPr>
          <w:rFonts w:hint="eastAsia" w:ascii="仿宋_GB2312" w:eastAsia="仿宋_GB2312"/>
          <w:sz w:val="32"/>
          <w:szCs w:val="32"/>
        </w:rPr>
        <w:t>年）》，积极构建“四新”专业布局，加快新工科、新医科、新文科和教师教育建设。推动国家级一流本科专业建设取得新突破，争取再获批</w:t>
      </w:r>
      <w:r>
        <w:rPr>
          <w:rFonts w:ascii="仿宋_GB2312" w:eastAsia="仿宋_GB2312"/>
          <w:sz w:val="32"/>
          <w:szCs w:val="32"/>
        </w:rPr>
        <w:t>1-2</w:t>
      </w:r>
      <w:r>
        <w:rPr>
          <w:rFonts w:hint="eastAsia" w:ascii="仿宋_GB2312" w:eastAsia="仿宋_GB2312"/>
          <w:sz w:val="32"/>
          <w:szCs w:val="32"/>
        </w:rPr>
        <w:t>个。重点建设增材制造工程和光电信息科学与工程（芯片方向）等本科专业。根据招生规模变化以及就业市场需求，建立健全专业增设、调整与退出的动态调整机制，优化专业结构与布局，促进专业内涵式发展。持续加强教师教育，着力推动师范专业内涵建设和认证工作，提升师范生能力培养质量。推进医学专业发展，着力推进新专业申报工作。重点开展师范类、新工科专业认证工作，争取取得新成效。落实</w:t>
      </w:r>
      <w:r>
        <w:rPr>
          <w:rFonts w:ascii="仿宋_GB2312" w:eastAsia="仿宋_GB2312"/>
          <w:sz w:val="32"/>
          <w:szCs w:val="32"/>
        </w:rPr>
        <w:t>OBE</w:t>
      </w:r>
      <w:r>
        <w:rPr>
          <w:rFonts w:hint="eastAsia" w:ascii="仿宋_GB2312" w:eastAsia="仿宋_GB2312"/>
          <w:sz w:val="32"/>
          <w:szCs w:val="32"/>
        </w:rPr>
        <w:t>教育理念，突出人才培养特色，修订课程大纲，强力推进</w:t>
      </w:r>
      <w:r>
        <w:rPr>
          <w:rFonts w:ascii="仿宋_GB2312" w:eastAsia="仿宋_GB2312"/>
          <w:sz w:val="32"/>
          <w:szCs w:val="32"/>
        </w:rPr>
        <w:t>2021</w:t>
      </w:r>
      <w:r>
        <w:rPr>
          <w:rFonts w:hint="eastAsia" w:ascii="仿宋_GB2312" w:eastAsia="仿宋_GB2312"/>
          <w:sz w:val="32"/>
          <w:szCs w:val="32"/>
        </w:rPr>
        <w:t>版人才培养方案落地实施。</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16.</w:t>
      </w:r>
      <w:r>
        <w:rPr>
          <w:rFonts w:hint="eastAsia" w:ascii="仿宋_GB2312" w:eastAsia="仿宋_GB2312"/>
          <w:b/>
          <w:bCs/>
          <w:sz w:val="32"/>
          <w:szCs w:val="32"/>
        </w:rPr>
        <w:t>持续推进一流课程建设。</w:t>
      </w:r>
      <w:r>
        <w:rPr>
          <w:rFonts w:hint="eastAsia" w:ascii="仿宋_GB2312" w:eastAsia="仿宋_GB2312"/>
          <w:sz w:val="32"/>
          <w:szCs w:val="32"/>
        </w:rPr>
        <w:t>全面开展线上、线下、线上线下混合、虚拟仿真实验教学、社会实践五类一流课程的建设工作，建设</w:t>
      </w:r>
      <w:r>
        <w:rPr>
          <w:rFonts w:ascii="仿宋_GB2312" w:eastAsia="仿宋_GB2312"/>
          <w:sz w:val="32"/>
          <w:szCs w:val="32"/>
        </w:rPr>
        <w:t>100</w:t>
      </w:r>
      <w:r>
        <w:rPr>
          <w:rFonts w:hint="eastAsia" w:ascii="仿宋_GB2312" w:eastAsia="仿宋_GB2312"/>
          <w:sz w:val="32"/>
          <w:szCs w:val="32"/>
        </w:rPr>
        <w:t>门左右校级一流课程，争取获批</w:t>
      </w:r>
      <w:r>
        <w:rPr>
          <w:rFonts w:ascii="仿宋_GB2312" w:eastAsia="仿宋_GB2312"/>
          <w:sz w:val="32"/>
          <w:szCs w:val="32"/>
        </w:rPr>
        <w:t>10</w:t>
      </w:r>
      <w:r>
        <w:rPr>
          <w:rFonts w:hint="eastAsia" w:ascii="仿宋_GB2312" w:eastAsia="仿宋_GB2312"/>
          <w:sz w:val="32"/>
          <w:szCs w:val="32"/>
        </w:rPr>
        <w:t>门以上省级一流课程、国家级一流课程实现突破。持续推进“课堂教学奖”评选，完善评价体系，打造“金课”，推动课堂教学改革深化，进一步提高我校课堂教学工作质量。</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17.</w:t>
      </w:r>
      <w:r>
        <w:rPr>
          <w:rFonts w:hint="eastAsia" w:ascii="仿宋_GB2312" w:eastAsia="仿宋_GB2312"/>
          <w:b/>
          <w:bCs/>
          <w:sz w:val="32"/>
          <w:szCs w:val="32"/>
        </w:rPr>
        <w:t>构建应用型、立体化教材建设体系。</w:t>
      </w:r>
      <w:r>
        <w:rPr>
          <w:rFonts w:hint="eastAsia" w:ascii="仿宋_GB2312" w:eastAsia="仿宋_GB2312"/>
          <w:sz w:val="32"/>
          <w:szCs w:val="32"/>
        </w:rPr>
        <w:t>紧密结合应用型人才培养目标，对接职业标准和岗位要求，制定激励政策鼓励专业造诣高、教学经验丰富的教师编写符合应用型人才培养的高质量特色教材，促进校本教材建设。完善教材评审、评价和选用机制，实现教材选优用新，“马工程”重点教材全覆盖，增强教材的针对性、实效性、科学性和前沿性。</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18.</w:t>
      </w:r>
      <w:r>
        <w:rPr>
          <w:rFonts w:hint="eastAsia" w:ascii="仿宋_GB2312" w:eastAsia="仿宋_GB2312"/>
          <w:b/>
          <w:bCs/>
          <w:sz w:val="32"/>
          <w:szCs w:val="32"/>
        </w:rPr>
        <w:t>认真做好基层教育组织工作。</w:t>
      </w:r>
      <w:r>
        <w:rPr>
          <w:rFonts w:hint="eastAsia" w:ascii="仿宋_GB2312" w:eastAsia="仿宋_GB2312"/>
          <w:sz w:val="32"/>
          <w:szCs w:val="32"/>
        </w:rPr>
        <w:t>建立健全适应新时代发展所需的基层教学组织，把立德树人融入到学科体系、教学体系、教材体系、管理体系中，实践于教学过程中，实现增强教学组织活力</w:t>
      </w:r>
      <w:r>
        <w:rPr>
          <w:rFonts w:ascii="仿宋_GB2312" w:eastAsia="仿宋_GB2312"/>
          <w:sz w:val="32"/>
          <w:szCs w:val="32"/>
        </w:rPr>
        <w:t>,</w:t>
      </w:r>
      <w:r>
        <w:rPr>
          <w:rFonts w:hint="eastAsia" w:ascii="仿宋_GB2312" w:eastAsia="仿宋_GB2312"/>
          <w:sz w:val="32"/>
          <w:szCs w:val="32"/>
        </w:rPr>
        <w:t>保障人才培养质量全面提升的改革目标。激发一线教师深入参与教学、潜心教书育人的积极性、主动性和创造性，培育形成全校上下重视教学、热爱教学、研究教学的教学质量文化，提高应用型人才培养质量。积极推进完全学分制改革，引导学生建立自身需要的知识体系，构建个性独特的素质能力结构。</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19.</w:t>
      </w:r>
      <w:r>
        <w:rPr>
          <w:rFonts w:hint="eastAsia" w:ascii="仿宋_GB2312" w:eastAsia="仿宋_GB2312"/>
          <w:b/>
          <w:bCs/>
          <w:sz w:val="32"/>
          <w:szCs w:val="32"/>
        </w:rPr>
        <w:t>持续推进智慧教育。</w:t>
      </w:r>
      <w:r>
        <w:rPr>
          <w:rFonts w:hint="eastAsia" w:ascii="仿宋_GB2312" w:eastAsia="仿宋_GB2312"/>
          <w:sz w:val="32"/>
          <w:szCs w:val="32"/>
        </w:rPr>
        <w:t>深入贯彻落实《河南省教育厅关于进一步推进普通本科高等学校智慧教学的实施意见》，加速推进我校智慧教学环境建设，持续推进“智慧校园、智慧教室、智慧课堂”落地见效。推动信息技术与教育教学深入融合创新发展，着力构筑“互联网</w:t>
      </w:r>
      <w:r>
        <w:rPr>
          <w:rFonts w:ascii="仿宋_GB2312" w:eastAsia="仿宋_GB2312"/>
          <w:sz w:val="32"/>
          <w:szCs w:val="32"/>
        </w:rPr>
        <w:t>+</w:t>
      </w:r>
      <w:r>
        <w:rPr>
          <w:rFonts w:hint="eastAsia" w:ascii="仿宋_GB2312" w:eastAsia="仿宋_GB2312"/>
          <w:sz w:val="32"/>
          <w:szCs w:val="32"/>
        </w:rPr>
        <w:t>教学”“智能</w:t>
      </w:r>
      <w:r>
        <w:rPr>
          <w:rFonts w:ascii="仿宋_GB2312" w:eastAsia="仿宋_GB2312"/>
          <w:sz w:val="32"/>
          <w:szCs w:val="32"/>
        </w:rPr>
        <w:t>+</w:t>
      </w:r>
      <w:r>
        <w:rPr>
          <w:rFonts w:hint="eastAsia" w:ascii="仿宋_GB2312" w:eastAsia="仿宋_GB2312"/>
          <w:sz w:val="32"/>
          <w:szCs w:val="32"/>
        </w:rPr>
        <w:t>教学”新形态，加强网络课程与资源建设，探索在线课程“建、用、学、管”新机制，强化校级网络课程学习平台建设，推进慕课和虚拟仿真实验建设，推动课程教学模式创新。做好应对突发疫情和网上教学的准备，根据疫情变化及时调整教学计划安排。</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20.</w:t>
      </w:r>
      <w:r>
        <w:rPr>
          <w:rFonts w:hint="eastAsia" w:ascii="仿宋_GB2312" w:eastAsia="仿宋_GB2312"/>
          <w:b/>
          <w:bCs/>
          <w:sz w:val="32"/>
          <w:szCs w:val="32"/>
        </w:rPr>
        <w:t>加强教育质量工程建设。</w:t>
      </w:r>
      <w:r>
        <w:rPr>
          <w:rFonts w:hint="eastAsia" w:ascii="仿宋_GB2312" w:eastAsia="仿宋_GB2312"/>
          <w:sz w:val="32"/>
          <w:szCs w:val="32"/>
        </w:rPr>
        <w:t>依托学科专业理事会共同培育一流专业与特色专业，共同开发核心课程与精品课程，共同构建</w:t>
      </w:r>
      <w:r>
        <w:rPr>
          <w:rFonts w:hint="eastAsia" w:ascii="仿宋_GB2312" w:eastAsia="仿宋_GB2312"/>
          <w:sz w:val="32"/>
          <w:szCs w:val="32"/>
          <w:lang w:eastAsia="zh-CN"/>
        </w:rPr>
        <w:t>实</w:t>
      </w:r>
      <w:r>
        <w:rPr>
          <w:rFonts w:hint="eastAsia" w:ascii="仿宋_GB2312" w:eastAsia="仿宋_GB2312"/>
          <w:sz w:val="32"/>
          <w:szCs w:val="32"/>
        </w:rPr>
        <w:t>训体系和创新课程体系，共同建设实验室、实习实训基地，重点培养省级教学名师</w:t>
      </w:r>
      <w:r>
        <w:rPr>
          <w:rFonts w:ascii="仿宋_GB2312" w:eastAsia="仿宋_GB2312"/>
          <w:sz w:val="32"/>
          <w:szCs w:val="32"/>
        </w:rPr>
        <w:t>1-2</w:t>
      </w:r>
      <w:r>
        <w:rPr>
          <w:rFonts w:hint="eastAsia" w:ascii="仿宋_GB2312" w:eastAsia="仿宋_GB2312"/>
          <w:sz w:val="32"/>
          <w:szCs w:val="32"/>
        </w:rPr>
        <w:t>名，打造省级一流专业</w:t>
      </w:r>
      <w:r>
        <w:rPr>
          <w:rFonts w:ascii="仿宋_GB2312" w:eastAsia="仿宋_GB2312"/>
          <w:sz w:val="32"/>
          <w:szCs w:val="32"/>
        </w:rPr>
        <w:t>3-5</w:t>
      </w:r>
      <w:r>
        <w:rPr>
          <w:rFonts w:hint="eastAsia" w:ascii="仿宋_GB2312" w:eastAsia="仿宋_GB2312"/>
          <w:sz w:val="32"/>
          <w:szCs w:val="32"/>
        </w:rPr>
        <w:t>个、省级精品在线开放课程</w:t>
      </w:r>
      <w:r>
        <w:rPr>
          <w:rFonts w:ascii="仿宋_GB2312" w:eastAsia="仿宋_GB2312"/>
          <w:sz w:val="32"/>
          <w:szCs w:val="32"/>
        </w:rPr>
        <w:t>2-3</w:t>
      </w:r>
      <w:r>
        <w:rPr>
          <w:rFonts w:hint="eastAsia" w:ascii="仿宋_GB2312" w:eastAsia="仿宋_GB2312"/>
          <w:sz w:val="32"/>
          <w:szCs w:val="32"/>
        </w:rPr>
        <w:t>门、省级教学改革项目</w:t>
      </w:r>
      <w:r>
        <w:rPr>
          <w:rFonts w:ascii="仿宋_GB2312" w:eastAsia="仿宋_GB2312"/>
          <w:sz w:val="32"/>
          <w:szCs w:val="32"/>
        </w:rPr>
        <w:t>3-4</w:t>
      </w:r>
      <w:r>
        <w:rPr>
          <w:rFonts w:hint="eastAsia" w:ascii="仿宋_GB2312" w:eastAsia="仿宋_GB2312"/>
          <w:sz w:val="32"/>
          <w:szCs w:val="32"/>
        </w:rPr>
        <w:t>项。</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21.</w:t>
      </w:r>
      <w:r>
        <w:rPr>
          <w:rFonts w:hint="eastAsia" w:ascii="仿宋_GB2312" w:eastAsia="仿宋_GB2312"/>
          <w:b/>
          <w:bCs/>
          <w:sz w:val="32"/>
          <w:szCs w:val="32"/>
        </w:rPr>
        <w:t>持续深化师德师风建设。</w:t>
      </w:r>
      <w:r>
        <w:rPr>
          <w:rFonts w:hint="eastAsia" w:ascii="仿宋_GB2312" w:eastAsia="仿宋_GB2312"/>
          <w:sz w:val="32"/>
          <w:szCs w:val="32"/>
        </w:rPr>
        <w:t>落实全国教育工作会议以及全国高校师德师风建设工作经验交流会精神，严格执行《新时代高校教师职业行为十项准则》，抓好抓实教风建设“十二率”，创新师德教育、加强师德宣传、优化管理服务、强化师德考核，将教风评价结果作为评优评先、职称评聘、年终考核的重要指标。</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22.</w:t>
      </w:r>
      <w:r>
        <w:rPr>
          <w:rFonts w:hint="eastAsia" w:ascii="仿宋_GB2312" w:eastAsia="仿宋_GB2312"/>
          <w:b/>
          <w:bCs/>
          <w:sz w:val="32"/>
          <w:szCs w:val="32"/>
        </w:rPr>
        <w:t>加强校内外实训基地和平台建设。</w:t>
      </w:r>
      <w:r>
        <w:rPr>
          <w:rFonts w:hint="eastAsia" w:ascii="仿宋_GB2312" w:eastAsia="仿宋_GB2312"/>
          <w:sz w:val="32"/>
          <w:szCs w:val="32"/>
        </w:rPr>
        <w:t>重点推进工科和师范教育基地建设工作，促进学校实验教学平台开放共享。强化校外实践教学基地管理，扩充数量，提高质量。加快生物与医药现代产业学院等</w:t>
      </w:r>
      <w:r>
        <w:rPr>
          <w:rFonts w:ascii="仿宋_GB2312" w:eastAsia="仿宋_GB2312"/>
          <w:sz w:val="32"/>
          <w:szCs w:val="32"/>
        </w:rPr>
        <w:t>6</w:t>
      </w:r>
      <w:r>
        <w:rPr>
          <w:rFonts w:hint="eastAsia" w:ascii="仿宋_GB2312" w:eastAsia="仿宋_GB2312"/>
          <w:sz w:val="32"/>
          <w:szCs w:val="32"/>
        </w:rPr>
        <w:t>个重点产业学院建设步伐，切实发挥好示范引领作用。大力推进爱创</w:t>
      </w:r>
      <w:r>
        <w:rPr>
          <w:rFonts w:hint="eastAsia" w:ascii="仿宋_GB2312" w:eastAsia="仿宋_GB2312"/>
          <w:sz w:val="32"/>
          <w:szCs w:val="32"/>
          <w:lang w:eastAsia="zh-CN"/>
        </w:rPr>
        <w:t>工程训练中心</w:t>
      </w:r>
      <w:r>
        <w:rPr>
          <w:rFonts w:hint="eastAsia" w:ascii="仿宋_GB2312" w:eastAsia="仿宋_GB2312"/>
          <w:sz w:val="32"/>
          <w:szCs w:val="32"/>
        </w:rPr>
        <w:t>建设工作。</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23.</w:t>
      </w:r>
      <w:r>
        <w:rPr>
          <w:rFonts w:hint="eastAsia" w:ascii="仿宋_GB2312" w:eastAsia="仿宋_GB2312"/>
          <w:b/>
          <w:bCs/>
          <w:sz w:val="32"/>
          <w:szCs w:val="32"/>
        </w:rPr>
        <w:t>完善教学督导与质量监控评价体系。</w:t>
      </w:r>
      <w:r>
        <w:rPr>
          <w:rFonts w:hint="eastAsia" w:ascii="仿宋_GB2312" w:eastAsia="仿宋_GB2312"/>
          <w:sz w:val="32"/>
          <w:szCs w:val="32"/>
        </w:rPr>
        <w:t>贯彻落实教育部《普通高等学校本科教育教学审核评估实施方案（</w:t>
      </w:r>
      <w:r>
        <w:rPr>
          <w:rFonts w:ascii="仿宋_GB2312" w:eastAsia="仿宋_GB2312"/>
          <w:sz w:val="32"/>
          <w:szCs w:val="32"/>
        </w:rPr>
        <w:t>2021—2025</w:t>
      </w:r>
      <w:r>
        <w:rPr>
          <w:rFonts w:hint="eastAsia" w:ascii="仿宋_GB2312" w:eastAsia="仿宋_GB2312"/>
          <w:sz w:val="32"/>
          <w:szCs w:val="32"/>
        </w:rPr>
        <w:t>年）》，全面启动审核评估。深入贯彻落实《关于深化新时代教育督导体制机制改革的实施意见》，进一步推进学校教学督导改革，建立校院教研室三级教学督查制度。完善教学质量监测平台的定制化开发，着力推动教学督导和质量监控信息化建设。</w:t>
      </w:r>
    </w:p>
    <w:p>
      <w:pPr>
        <w:adjustRightInd w:val="0"/>
        <w:spacing w:line="560" w:lineRule="exact"/>
        <w:ind w:firstLine="643" w:firstLineChars="200"/>
        <w:rPr>
          <w:rFonts w:ascii="仿宋_GB2312" w:eastAsia="仿宋_GB2312"/>
          <w:b/>
          <w:bCs/>
          <w:sz w:val="32"/>
          <w:szCs w:val="32"/>
        </w:rPr>
      </w:pPr>
      <w:r>
        <w:rPr>
          <w:rFonts w:ascii="仿宋_GB2312" w:eastAsia="仿宋_GB2312"/>
          <w:b/>
          <w:bCs/>
          <w:sz w:val="32"/>
          <w:szCs w:val="32"/>
        </w:rPr>
        <w:t>24.</w:t>
      </w:r>
      <w:r>
        <w:rPr>
          <w:rFonts w:hint="eastAsia" w:ascii="仿宋_GB2312" w:eastAsia="仿宋_GB2312"/>
          <w:b/>
          <w:bCs/>
          <w:sz w:val="32"/>
          <w:szCs w:val="32"/>
        </w:rPr>
        <w:t>积极推进招生工作。</w:t>
      </w:r>
      <w:r>
        <w:rPr>
          <w:rFonts w:hint="eastAsia" w:ascii="仿宋_GB2312" w:eastAsia="仿宋_GB2312"/>
          <w:sz w:val="32"/>
          <w:szCs w:val="32"/>
        </w:rPr>
        <w:t>做好制药工程、广播电视编导</w:t>
      </w:r>
      <w:r>
        <w:rPr>
          <w:rFonts w:ascii="仿宋_GB2312" w:eastAsia="仿宋_GB2312"/>
          <w:sz w:val="32"/>
          <w:szCs w:val="32"/>
        </w:rPr>
        <w:t>2</w:t>
      </w:r>
      <w:r>
        <w:rPr>
          <w:rFonts w:hint="eastAsia" w:ascii="仿宋_GB2312" w:eastAsia="仿宋_GB2312"/>
          <w:sz w:val="32"/>
          <w:szCs w:val="32"/>
        </w:rPr>
        <w:t>个国家级一流本科专业和增材制造工程专业的招生工作。持续调整优化招生专业和层次结构，积极争取四年制本科招生计划，扩大一本招生规模。落实招生“阳光工程”，全面做好</w:t>
      </w:r>
      <w:r>
        <w:rPr>
          <w:rFonts w:ascii="仿宋_GB2312" w:eastAsia="仿宋_GB2312"/>
          <w:sz w:val="32"/>
          <w:szCs w:val="32"/>
        </w:rPr>
        <w:t>2021</w:t>
      </w:r>
      <w:r>
        <w:rPr>
          <w:rFonts w:hint="eastAsia" w:ascii="仿宋_GB2312" w:eastAsia="仿宋_GB2312"/>
          <w:sz w:val="32"/>
          <w:szCs w:val="32"/>
        </w:rPr>
        <w:t>年招生工作，持续提高报考率、报到率和生源质量。</w:t>
      </w:r>
    </w:p>
    <w:p>
      <w:pPr>
        <w:adjustRightInd w:val="0"/>
        <w:spacing w:line="560" w:lineRule="exact"/>
        <w:ind w:firstLine="643" w:firstLineChars="200"/>
        <w:rPr>
          <w:rFonts w:ascii="仿宋_GB2312" w:eastAsia="仿宋_GB2312"/>
          <w:b/>
          <w:bCs/>
          <w:sz w:val="32"/>
          <w:szCs w:val="32"/>
        </w:rPr>
      </w:pPr>
      <w:r>
        <w:rPr>
          <w:rFonts w:ascii="仿宋_GB2312" w:eastAsia="仿宋_GB2312"/>
          <w:b/>
          <w:bCs/>
          <w:sz w:val="32"/>
          <w:szCs w:val="32"/>
        </w:rPr>
        <w:t>25.</w:t>
      </w:r>
      <w:r>
        <w:rPr>
          <w:rFonts w:hint="eastAsia" w:ascii="仿宋_GB2312" w:eastAsia="仿宋_GB2312"/>
          <w:b/>
          <w:bCs/>
          <w:sz w:val="32"/>
          <w:szCs w:val="32"/>
        </w:rPr>
        <w:t>着力推进就业工作高质量开展。</w:t>
      </w:r>
      <w:r>
        <w:rPr>
          <w:rFonts w:hint="eastAsia" w:ascii="仿宋_GB2312" w:eastAsia="仿宋_GB2312"/>
          <w:sz w:val="32"/>
          <w:szCs w:val="32"/>
        </w:rPr>
        <w:t>落实就业创业“一把手”工程，建立健全校院两级毕业生就业工作体系，实现</w:t>
      </w:r>
      <w:r>
        <w:rPr>
          <w:rFonts w:ascii="仿宋_GB2312" w:eastAsia="仿宋_GB2312"/>
          <w:sz w:val="32"/>
          <w:szCs w:val="32"/>
        </w:rPr>
        <w:t>2021</w:t>
      </w:r>
      <w:r>
        <w:rPr>
          <w:rFonts w:hint="eastAsia" w:ascii="仿宋_GB2312" w:eastAsia="仿宋_GB2312"/>
          <w:sz w:val="32"/>
          <w:szCs w:val="32"/>
        </w:rPr>
        <w:t>年度总就业率不低于</w:t>
      </w:r>
      <w:r>
        <w:rPr>
          <w:rFonts w:ascii="仿宋_GB2312" w:eastAsia="仿宋_GB2312"/>
          <w:sz w:val="32"/>
          <w:szCs w:val="32"/>
        </w:rPr>
        <w:t>96%</w:t>
      </w:r>
      <w:r>
        <w:rPr>
          <w:rFonts w:hint="eastAsia" w:ascii="仿宋_GB2312" w:eastAsia="仿宋_GB2312"/>
          <w:sz w:val="32"/>
          <w:szCs w:val="32"/>
        </w:rPr>
        <w:t>，保持全省本科院校中上游水平；拓宽招聘宣传途径，加强毕业生就业创业宣传，提高毕业生就业质量。拓展毕业生就业渠道，继续实施好“农村教师特岗计划”“三支一扶”“西部计划”等基层项目。加强创业导师队伍建设，为师生搭建融资平台，促进项目成果落地。构建校院两级和学生全员参与的竞赛体系，举办校级大学生职业生涯规划大赛、创新创业大赛，遴选优秀项目参加河南省、国家竞赛，争取实现竞赛奖项的新突破。以众创空间新场地建设为抓手，完善管理制度，建设独具特色的省级众创空间。完成新乡学院科技园有限公司体制改革工作。</w:t>
      </w:r>
    </w:p>
    <w:p>
      <w:pPr>
        <w:adjustRightInd w:val="0"/>
        <w:spacing w:line="560" w:lineRule="exact"/>
        <w:ind w:firstLine="643" w:firstLineChars="200"/>
        <w:rPr>
          <w:rFonts w:hint="eastAsia" w:ascii="仿宋_GB2312" w:eastAsia="仿宋_GB2312"/>
          <w:b w:val="0"/>
          <w:bCs w:val="0"/>
          <w:sz w:val="32"/>
          <w:szCs w:val="32"/>
        </w:rPr>
      </w:pPr>
      <w:r>
        <w:rPr>
          <w:rFonts w:ascii="仿宋_GB2312" w:eastAsia="仿宋_GB2312"/>
          <w:b/>
          <w:bCs/>
          <w:sz w:val="32"/>
          <w:szCs w:val="32"/>
        </w:rPr>
        <w:t>26.</w:t>
      </w:r>
      <w:r>
        <w:rPr>
          <w:rFonts w:hint="eastAsia" w:ascii="仿宋_GB2312" w:eastAsia="仿宋_GB2312"/>
          <w:b/>
          <w:bCs/>
          <w:sz w:val="32"/>
          <w:szCs w:val="32"/>
        </w:rPr>
        <w:t>深化国际合作办学与交流。</w:t>
      </w:r>
      <w:r>
        <w:rPr>
          <w:rFonts w:hint="eastAsia" w:ascii="仿宋_GB2312" w:eastAsia="仿宋_GB2312"/>
          <w:b w:val="0"/>
          <w:bCs w:val="0"/>
          <w:sz w:val="32"/>
          <w:szCs w:val="32"/>
        </w:rPr>
        <w:t>积极参与“一带一路”沿线国家高校的合作与交流，推动与白俄罗斯布列斯特国立工业大学合作举办本科教育项目申报。落实美国贝佩丝大学生物技术专业本科项目教学计划的实施。积极拓展新的交流合作项目。</w:t>
      </w:r>
      <w:bookmarkStart w:id="0" w:name="_GoBack"/>
      <w:bookmarkEnd w:id="0"/>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27.</w:t>
      </w:r>
      <w:r>
        <w:rPr>
          <w:rFonts w:hint="eastAsia" w:ascii="仿宋_GB2312" w:eastAsia="仿宋_GB2312"/>
          <w:b/>
          <w:bCs/>
          <w:sz w:val="32"/>
          <w:szCs w:val="32"/>
        </w:rPr>
        <w:t>做好继续教育和培训工作。</w:t>
      </w:r>
      <w:r>
        <w:rPr>
          <w:rFonts w:hint="eastAsia" w:ascii="仿宋_GB2312" w:eastAsia="仿宋_GB2312"/>
          <w:sz w:val="32"/>
          <w:szCs w:val="32"/>
        </w:rPr>
        <w:t>认真开展成人高等教育招生宣传录取工作，拓宽继续教育平台，着力推进与奥鹏学院合作项目签约落地，做好继续教育网络教学平台和网络课程资源建设，提升成人高等教育服务与管理质量。继续做好中小学教师校长研修院工作，完成教育厅下达的省培项目。</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28.</w:t>
      </w:r>
      <w:r>
        <w:rPr>
          <w:rFonts w:hint="eastAsia" w:ascii="仿宋_GB2312" w:eastAsia="仿宋_GB2312"/>
          <w:b/>
          <w:bCs/>
          <w:sz w:val="32"/>
          <w:szCs w:val="32"/>
        </w:rPr>
        <w:t>推进国家语言文字推广基地建设。</w:t>
      </w:r>
      <w:r>
        <w:rPr>
          <w:rFonts w:hint="eastAsia" w:ascii="仿宋_GB2312" w:eastAsia="仿宋_GB2312"/>
          <w:sz w:val="32"/>
          <w:szCs w:val="32"/>
        </w:rPr>
        <w:t>加快建设国家语言文字推广基地，贯彻落实全国语言文字会议精神，做好计算机辅助普通话水平测试，创新开展国家语言文字推广月系列活动，引导学生广泛参与中华经典联读、青春诵读、汉字听写等语言文字类教育实践活动，提高青年学生语言文字应用的综合素养，丰富青年学生的课余生活，营造健康向上的文化氛围；做好第二批国家语言文字推广基地实地考察的各项准备工作，进一步发挥国家语言文字推广基地在服务国家战略、推广中华优秀传统文化、服务教育教学的示范引领作用。</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四、强化学科建设引领，切实推动产学研深度融合</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29.</w:t>
      </w:r>
      <w:r>
        <w:rPr>
          <w:rFonts w:hint="eastAsia" w:ascii="仿宋_GB2312" w:eastAsia="仿宋_GB2312"/>
          <w:b/>
          <w:bCs/>
          <w:sz w:val="32"/>
          <w:szCs w:val="32"/>
        </w:rPr>
        <w:t>加强重点学科建设。</w:t>
      </w:r>
      <w:r>
        <w:rPr>
          <w:rFonts w:hint="eastAsia" w:ascii="仿宋_GB2312" w:eastAsia="仿宋_GB2312"/>
          <w:sz w:val="32"/>
          <w:szCs w:val="32"/>
        </w:rPr>
        <w:t>围绕转型发展和地方经济社会发展需求，以重点培育地方经济社会发展急需、有地域特色和比较优势的学科为突破口，突出生物医药、新材料、物理、教育学、人文、机电、经管、传媒、</w:t>
      </w:r>
      <w:r>
        <w:rPr>
          <w:rFonts w:ascii="仿宋_GB2312" w:eastAsia="仿宋_GB2312"/>
          <w:sz w:val="32"/>
          <w:szCs w:val="32"/>
        </w:rPr>
        <w:t>3D</w:t>
      </w:r>
      <w:r>
        <w:rPr>
          <w:rFonts w:hint="eastAsia" w:ascii="仿宋_GB2312" w:eastAsia="仿宋_GB2312"/>
          <w:sz w:val="32"/>
          <w:szCs w:val="32"/>
        </w:rPr>
        <w:t>打印等重点学科、特色学科优势，完成学校第二批重点学科、重点建设学科终期考核，遴选第二轮校级重点学科和校级重点建设学科，选拔河南省第十批重点学科的培育学科。</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30.</w:t>
      </w:r>
      <w:r>
        <w:rPr>
          <w:rFonts w:hint="eastAsia" w:ascii="仿宋_GB2312" w:eastAsia="仿宋_GB2312"/>
          <w:b/>
          <w:bCs/>
          <w:sz w:val="32"/>
          <w:szCs w:val="32"/>
        </w:rPr>
        <w:t>推进硕士学位授权点建设和研究生教育与管理。</w:t>
      </w:r>
      <w:r>
        <w:rPr>
          <w:rFonts w:hint="eastAsia" w:ascii="仿宋_GB2312" w:eastAsia="仿宋_GB2312"/>
          <w:sz w:val="32"/>
          <w:szCs w:val="32"/>
        </w:rPr>
        <w:t>健全研究生管理体系，制定、修订重点学科与研究生管理相关规章制度。依托重点学科加强硕士学位点建设，拓展联合培养研究生渠道，选拔推荐研究生导师参与硕士生培养，选配优秀教师充实研究生辅导员队伍，提高联合培养研究生质量。</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31.</w:t>
      </w:r>
      <w:r>
        <w:rPr>
          <w:rFonts w:hint="eastAsia" w:ascii="仿宋_GB2312" w:eastAsia="仿宋_GB2312"/>
          <w:b/>
          <w:bCs/>
          <w:sz w:val="32"/>
          <w:szCs w:val="32"/>
        </w:rPr>
        <w:t>加快推进平台、团队、人才协同发展。</w:t>
      </w:r>
      <w:r>
        <w:rPr>
          <w:rFonts w:hint="eastAsia" w:ascii="仿宋_GB2312" w:eastAsia="仿宋_GB2312"/>
          <w:sz w:val="32"/>
          <w:szCs w:val="32"/>
        </w:rPr>
        <w:t>重点建设培育地方经济社会发展急需、有地域特色和优势的平台、团队、人才。发挥特聘教授、外聘专家的领军作用，带动科技创新团队建设，提高教师科研能力与水平。加强平台建设和管理，进一步推进重点实验室和工程技术中心、人文社科研究基地、智库等研究平台的建设，打造有一定学术影响力，能够承担高水平科研项目研究的平台。建设培育平台、团队，充分挖掘培养青年人才，完成学校第一批科技创新团队考核和第二批科技创新团队的组建工作，实现平台、团队、人才协调发展。</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32.</w:t>
      </w:r>
      <w:r>
        <w:rPr>
          <w:rFonts w:hint="eastAsia" w:ascii="仿宋_GB2312" w:eastAsia="仿宋_GB2312"/>
          <w:b/>
          <w:bCs/>
          <w:sz w:val="32"/>
          <w:szCs w:val="32"/>
        </w:rPr>
        <w:t>积极培育高层次、应用性科研项目。</w:t>
      </w:r>
      <w:r>
        <w:rPr>
          <w:rFonts w:hint="eastAsia" w:ascii="仿宋_GB2312" w:eastAsia="仿宋_GB2312"/>
          <w:sz w:val="32"/>
          <w:szCs w:val="32"/>
        </w:rPr>
        <w:t>重视应用性科学研究项目建设与培育工作，做好各类科研项目的申报、跟踪、管理和评奖工作。围绕国家级项目研究内容，拓展各级各类项目申报，做好河南省以及新乡市重大科研项目和重大专项的申报，力争获批国家级基金项目</w:t>
      </w:r>
      <w:r>
        <w:rPr>
          <w:rFonts w:ascii="仿宋_GB2312" w:eastAsia="仿宋_GB2312"/>
          <w:sz w:val="32"/>
          <w:szCs w:val="32"/>
        </w:rPr>
        <w:t>3-4</w:t>
      </w:r>
      <w:r>
        <w:rPr>
          <w:rFonts w:hint="eastAsia" w:ascii="仿宋_GB2312" w:eastAsia="仿宋_GB2312"/>
          <w:sz w:val="32"/>
          <w:szCs w:val="32"/>
        </w:rPr>
        <w:t>项、省部级及以上项目</w:t>
      </w:r>
      <w:r>
        <w:rPr>
          <w:rFonts w:ascii="仿宋_GB2312" w:eastAsia="仿宋_GB2312"/>
          <w:sz w:val="32"/>
          <w:szCs w:val="32"/>
        </w:rPr>
        <w:t>30-40</w:t>
      </w:r>
      <w:r>
        <w:rPr>
          <w:rFonts w:hint="eastAsia" w:ascii="仿宋_GB2312" w:eastAsia="仿宋_GB2312"/>
          <w:sz w:val="32"/>
          <w:szCs w:val="32"/>
        </w:rPr>
        <w:t>项、省部级及以上平台</w:t>
      </w:r>
      <w:r>
        <w:rPr>
          <w:rFonts w:ascii="仿宋_GB2312" w:eastAsia="仿宋_GB2312"/>
          <w:sz w:val="32"/>
          <w:szCs w:val="32"/>
        </w:rPr>
        <w:t>1-2</w:t>
      </w:r>
      <w:r>
        <w:rPr>
          <w:rFonts w:hint="eastAsia" w:ascii="仿宋_GB2312" w:eastAsia="仿宋_GB2312"/>
          <w:sz w:val="32"/>
          <w:szCs w:val="32"/>
        </w:rPr>
        <w:t>项，完成授权发明专利</w:t>
      </w:r>
      <w:r>
        <w:rPr>
          <w:rFonts w:ascii="仿宋_GB2312" w:eastAsia="仿宋_GB2312"/>
          <w:sz w:val="32"/>
          <w:szCs w:val="32"/>
        </w:rPr>
        <w:t>20-30</w:t>
      </w:r>
      <w:r>
        <w:rPr>
          <w:rFonts w:hint="eastAsia" w:ascii="仿宋_GB2312" w:eastAsia="仿宋_GB2312"/>
          <w:sz w:val="32"/>
          <w:szCs w:val="32"/>
        </w:rPr>
        <w:t>项，参与国家标准、行业标准制定取得新突破，力争到账科研经费</w:t>
      </w:r>
      <w:r>
        <w:rPr>
          <w:rFonts w:ascii="仿宋_GB2312" w:eastAsia="仿宋_GB2312"/>
          <w:sz w:val="32"/>
          <w:szCs w:val="32"/>
        </w:rPr>
        <w:t>1000</w:t>
      </w:r>
      <w:r>
        <w:rPr>
          <w:rFonts w:hint="eastAsia" w:ascii="仿宋_GB2312" w:eastAsia="仿宋_GB2312"/>
          <w:sz w:val="32"/>
          <w:szCs w:val="32"/>
        </w:rPr>
        <w:t>万元。做好军工保密资质的申报工作。组织召开新乡学院第四次科研工作会议。</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33.</w:t>
      </w:r>
      <w:r>
        <w:rPr>
          <w:rFonts w:hint="eastAsia" w:ascii="仿宋_GB2312" w:eastAsia="仿宋_GB2312"/>
          <w:b/>
          <w:bCs/>
          <w:sz w:val="32"/>
          <w:szCs w:val="32"/>
        </w:rPr>
        <w:t>创新科研成果转化体制机制。</w:t>
      </w:r>
      <w:r>
        <w:rPr>
          <w:rFonts w:hint="eastAsia" w:ascii="仿宋_GB2312" w:eastAsia="仿宋_GB2312"/>
          <w:sz w:val="32"/>
          <w:szCs w:val="32"/>
        </w:rPr>
        <w:t>修订《新乡学院科研经费管理办法》，出台《新乡学院科技成果转化管理办法》《新乡学院校内科研机构管理办法》，积极贯彻落实中央、教育部、河南省相关科研经费、科技开发激励政策，探索体现增加知识价值的收入分配机制和科技成果转化收益分配机制。进一步梳理相关政策，鼓励广大科研工作者对接行业企业优势资源，联合开展科技研发，到企业行业挂职、兼职，根据行业企业需求，主动进行技术开发和技术服务，促进科研成果尽快取得经济效益和社会效益，为产业结构调整、行业企业技术进步、高质量发展提供支撑和引领。</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34.</w:t>
      </w:r>
      <w:r>
        <w:rPr>
          <w:rFonts w:hint="eastAsia" w:ascii="仿宋_GB2312" w:eastAsia="仿宋_GB2312"/>
          <w:b/>
          <w:bCs/>
          <w:sz w:val="32"/>
          <w:szCs w:val="32"/>
        </w:rPr>
        <w:t>强化</w:t>
      </w:r>
      <w:r>
        <w:rPr>
          <w:rFonts w:ascii="仿宋_GB2312" w:eastAsia="仿宋_GB2312"/>
          <w:b/>
          <w:bCs/>
          <w:sz w:val="32"/>
          <w:szCs w:val="32"/>
        </w:rPr>
        <w:t>3D</w:t>
      </w:r>
      <w:r>
        <w:rPr>
          <w:rFonts w:hint="eastAsia" w:ascii="仿宋_GB2312" w:eastAsia="仿宋_GB2312"/>
          <w:b/>
          <w:bCs/>
          <w:sz w:val="32"/>
          <w:szCs w:val="32"/>
        </w:rPr>
        <w:t>打印行业特色。</w:t>
      </w:r>
      <w:r>
        <w:rPr>
          <w:rFonts w:hint="eastAsia" w:ascii="仿宋_GB2312" w:eastAsia="仿宋_GB2312"/>
          <w:sz w:val="32"/>
          <w:szCs w:val="32"/>
        </w:rPr>
        <w:t>着力推进河南省</w:t>
      </w:r>
      <w:r>
        <w:rPr>
          <w:rFonts w:ascii="仿宋_GB2312" w:eastAsia="仿宋_GB2312"/>
          <w:sz w:val="32"/>
          <w:szCs w:val="32"/>
        </w:rPr>
        <w:t>3D</w:t>
      </w:r>
      <w:r>
        <w:rPr>
          <w:rFonts w:hint="eastAsia" w:ascii="仿宋_GB2312" w:eastAsia="仿宋_GB2312"/>
          <w:sz w:val="32"/>
          <w:szCs w:val="32"/>
        </w:rPr>
        <w:t>打印技术工程研究中心的建设，举办河南省</w:t>
      </w:r>
      <w:r>
        <w:rPr>
          <w:rFonts w:ascii="仿宋_GB2312" w:eastAsia="仿宋_GB2312"/>
          <w:sz w:val="32"/>
          <w:szCs w:val="32"/>
        </w:rPr>
        <w:t>3D</w:t>
      </w:r>
      <w:r>
        <w:rPr>
          <w:rFonts w:hint="eastAsia" w:ascii="仿宋_GB2312" w:eastAsia="仿宋_GB2312"/>
          <w:sz w:val="32"/>
          <w:szCs w:val="32"/>
        </w:rPr>
        <w:t>打印产业技术创新战略联盟成立大会，召开第四届</w:t>
      </w:r>
      <w:r>
        <w:rPr>
          <w:rFonts w:ascii="仿宋_GB2312" w:eastAsia="仿宋_GB2312"/>
          <w:sz w:val="32"/>
          <w:szCs w:val="32"/>
        </w:rPr>
        <w:t>3D</w:t>
      </w:r>
      <w:r>
        <w:rPr>
          <w:rFonts w:hint="eastAsia" w:ascii="仿宋_GB2312" w:eastAsia="仿宋_GB2312"/>
          <w:sz w:val="32"/>
          <w:szCs w:val="32"/>
        </w:rPr>
        <w:t>打印技术创新论坛。加快建设</w:t>
      </w:r>
      <w:r>
        <w:rPr>
          <w:rFonts w:ascii="仿宋_GB2312" w:eastAsia="仿宋_GB2312"/>
          <w:sz w:val="32"/>
          <w:szCs w:val="32"/>
        </w:rPr>
        <w:t>3D</w:t>
      </w:r>
      <w:r>
        <w:rPr>
          <w:rFonts w:hint="eastAsia" w:ascii="仿宋_GB2312" w:eastAsia="仿宋_GB2312"/>
          <w:sz w:val="32"/>
          <w:szCs w:val="32"/>
        </w:rPr>
        <w:t>打印产业学院。推进与安徽金寨金科智能制造科技有限公司合作，建好</w:t>
      </w:r>
      <w:r>
        <w:rPr>
          <w:rFonts w:ascii="仿宋_GB2312" w:eastAsia="仿宋_GB2312"/>
          <w:sz w:val="32"/>
          <w:szCs w:val="32"/>
        </w:rPr>
        <w:t>3D</w:t>
      </w:r>
      <w:r>
        <w:rPr>
          <w:rFonts w:hint="eastAsia" w:ascii="仿宋_GB2312" w:eastAsia="仿宋_GB2312"/>
          <w:sz w:val="32"/>
          <w:szCs w:val="32"/>
        </w:rPr>
        <w:t>打印智能制造中心，与清华大学共建金属</w:t>
      </w:r>
      <w:r>
        <w:rPr>
          <w:rFonts w:ascii="仿宋_GB2312" w:eastAsia="仿宋_GB2312"/>
          <w:sz w:val="32"/>
          <w:szCs w:val="32"/>
        </w:rPr>
        <w:t>3D</w:t>
      </w:r>
      <w:r>
        <w:rPr>
          <w:rFonts w:hint="eastAsia" w:ascii="仿宋_GB2312" w:eastAsia="仿宋_GB2312"/>
          <w:sz w:val="32"/>
          <w:szCs w:val="32"/>
        </w:rPr>
        <w:t>打印生产加工中心，与西工大、红旗区人民政府共建新乡新材料（</w:t>
      </w:r>
      <w:r>
        <w:rPr>
          <w:rFonts w:ascii="仿宋_GB2312" w:eastAsia="仿宋_GB2312"/>
          <w:sz w:val="32"/>
          <w:szCs w:val="32"/>
        </w:rPr>
        <w:t>3D</w:t>
      </w:r>
      <w:r>
        <w:rPr>
          <w:rFonts w:hint="eastAsia" w:ascii="仿宋_GB2312" w:eastAsia="仿宋_GB2312"/>
          <w:sz w:val="32"/>
          <w:szCs w:val="32"/>
        </w:rPr>
        <w:t>打印材料）检测评价中心。</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35.</w:t>
      </w:r>
      <w:r>
        <w:rPr>
          <w:rFonts w:hint="eastAsia" w:ascii="仿宋_GB2312" w:eastAsia="仿宋_GB2312"/>
          <w:b/>
          <w:bCs/>
          <w:sz w:val="32"/>
          <w:szCs w:val="32"/>
        </w:rPr>
        <w:t>提高学术交流水平和办刊质量。</w:t>
      </w:r>
      <w:r>
        <w:rPr>
          <w:rFonts w:hint="eastAsia" w:ascii="仿宋_GB2312" w:eastAsia="仿宋_GB2312"/>
          <w:sz w:val="32"/>
          <w:szCs w:val="32"/>
        </w:rPr>
        <w:t>严格审核程序，强化落实意识形态责任制，支持、鼓励和组织多种形式的学术交流活动，提高学术交流活动的数量和质量。加强科学道德建设，严格执行《新乡学院关于预防与处理学术不端行为规定》，严厉打击学术不端行为，营造尊重学术自由、崇尚创新、开放包容的学术环境。做好《管理学刊》《行政科学论坛》《新乡学院学报》出版发行工作；提升办刊质量，巩固《管理学刊》双核心期刊地位，进一步提高刊物质量和影响力。</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五、深化人才强校战略，大力提升人才队伍层次和水平</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36.</w:t>
      </w:r>
      <w:r>
        <w:rPr>
          <w:rFonts w:hint="eastAsia" w:ascii="仿宋_GB2312" w:eastAsia="仿宋_GB2312"/>
          <w:b/>
          <w:bCs/>
          <w:sz w:val="32"/>
          <w:szCs w:val="32"/>
        </w:rPr>
        <w:t>扎实推进人才队伍建设。</w:t>
      </w:r>
      <w:r>
        <w:rPr>
          <w:rFonts w:hint="eastAsia" w:ascii="仿宋_GB2312" w:eastAsia="仿宋_GB2312"/>
          <w:sz w:val="32"/>
          <w:szCs w:val="32"/>
        </w:rPr>
        <w:t>结合郑洛新国家自主创新示范区先行先试的政策导向，修订完善高层次人才引进和考核办法，加大高层次人才引进力度。做好特聘教授的考核管理工作。开展“教学名师”“创新学者”“管理服务标兵”评选。</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37.</w:t>
      </w:r>
      <w:r>
        <w:rPr>
          <w:rFonts w:hint="eastAsia" w:ascii="仿宋_GB2312" w:eastAsia="仿宋_GB2312"/>
          <w:b/>
          <w:bCs/>
          <w:sz w:val="32"/>
          <w:szCs w:val="32"/>
        </w:rPr>
        <w:t>健全人事人才管理体制。</w:t>
      </w:r>
      <w:r>
        <w:rPr>
          <w:rFonts w:hint="eastAsia" w:ascii="仿宋_GB2312" w:eastAsia="仿宋_GB2312"/>
          <w:sz w:val="32"/>
          <w:szCs w:val="32"/>
        </w:rPr>
        <w:t>认真贯彻落实《关于加强新时代高校教师队伍建设改革的指导意见》，持续推进人事制度改革。完善人员编制岗位管理制度，确定岗位职责，做好“三定”工作。按照党建高质量和事业发展高质量考核指标体系，以体现实绩和贡献为导向，加快推进目标管理责任制落地实施。深化分配制度改革，修订教学工作量、科研工作量计算办法，改革完善考核评价机制，激发事业发展活力。深化“放管服”改革，推进建立校院两级管理体系。进一步推动学校专业技术职务评聘改革，组织</w:t>
      </w:r>
      <w:r>
        <w:rPr>
          <w:rFonts w:ascii="仿宋_GB2312" w:eastAsia="仿宋_GB2312"/>
          <w:sz w:val="32"/>
          <w:szCs w:val="32"/>
        </w:rPr>
        <w:t>2021</w:t>
      </w:r>
      <w:r>
        <w:rPr>
          <w:rFonts w:hint="eastAsia" w:ascii="仿宋_GB2312" w:eastAsia="仿宋_GB2312"/>
          <w:sz w:val="32"/>
          <w:szCs w:val="32"/>
        </w:rPr>
        <w:t>年全校教职工的专业技术职务申报、推荐、评聘和管理工作。制定非在编人员管理和考核办法，严格控制编外人员数量，实施分级薪酬，加强规范管理。完成新原校园教职工整合分流工作。</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38.</w:t>
      </w:r>
      <w:r>
        <w:rPr>
          <w:rFonts w:hint="eastAsia" w:ascii="仿宋_GB2312" w:eastAsia="仿宋_GB2312"/>
          <w:b/>
          <w:bCs/>
          <w:sz w:val="32"/>
          <w:szCs w:val="32"/>
        </w:rPr>
        <w:t>推进教职工职业发展体系建设。</w:t>
      </w:r>
      <w:r>
        <w:rPr>
          <w:rFonts w:hint="eastAsia" w:ascii="仿宋_GB2312" w:eastAsia="仿宋_GB2312"/>
          <w:sz w:val="32"/>
          <w:szCs w:val="32"/>
        </w:rPr>
        <w:t>以创建省级教师教学发展示范中心为契机，扎实开展教师专业化培训，加强“网络学习平台”建设，开展对新入职教师岗前培训、教师进修、实践锻炼。修订双师双能型教师认定和考核办法，加大双师双能型教师队伍建设力度。</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六、加强科学化精细化管理，持续提升管理服务效能</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39.</w:t>
      </w:r>
      <w:r>
        <w:rPr>
          <w:rFonts w:hint="eastAsia" w:ascii="仿宋_GB2312" w:eastAsia="仿宋_GB2312"/>
          <w:b/>
          <w:bCs/>
          <w:sz w:val="32"/>
          <w:szCs w:val="32"/>
        </w:rPr>
        <w:t>深入推进依法治校。</w:t>
      </w:r>
      <w:r>
        <w:rPr>
          <w:rFonts w:hint="eastAsia" w:ascii="仿宋_GB2312" w:eastAsia="仿宋_GB2312"/>
          <w:sz w:val="32"/>
          <w:szCs w:val="32"/>
        </w:rPr>
        <w:t>全面贯彻落实《关于进一步加强高等学校法治工作的意见》，深入推进依法治教、依法办学、依法治校。完善学校制度体系建设和法治建设，加大校园普法力度，规范学校管理与服务工作。完善校务公开制度，加强各类文件的规范性、合法性审核，妥善应对各类诉讼、仲裁案件，最大限度维护学校利益，减少损失。扎实做好档案馆管理工作，推进档案信息化建设。严格执行公车管理办法，进一步提高公务用车管理效率。认真做好离退休教职工服务管理工作。</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40.</w:t>
      </w:r>
      <w:r>
        <w:rPr>
          <w:rFonts w:hint="eastAsia" w:ascii="仿宋_GB2312" w:eastAsia="仿宋_GB2312"/>
          <w:b/>
          <w:bCs/>
          <w:sz w:val="32"/>
          <w:szCs w:val="32"/>
        </w:rPr>
        <w:t>协调推进高水平应用型本科高校建设工作。</w:t>
      </w:r>
      <w:r>
        <w:rPr>
          <w:rFonts w:hint="eastAsia" w:ascii="仿宋_GB2312" w:eastAsia="仿宋_GB2312"/>
          <w:sz w:val="32"/>
          <w:szCs w:val="32"/>
        </w:rPr>
        <w:t>聚焦学校“十三五”规划确定的主要目标任务，总结提炼推进规划实施的经验做法；站在培养社会主义建设者和接班人的高度，高水平编制学校“十四五”规划。加强现代学校制度建设试点单位建设，推进以</w:t>
      </w:r>
      <w:r>
        <w:rPr>
          <w:rFonts w:hint="eastAsia" w:ascii="仿宋_GB2312" w:eastAsia="仿宋_GB2312"/>
          <w:color w:val="000000" w:themeColor="text1"/>
          <w:sz w:val="32"/>
          <w:szCs w:val="32"/>
          <w14:textFill>
            <w14:solidFill>
              <w14:schemeClr w14:val="tx1"/>
            </w14:solidFill>
          </w14:textFill>
        </w:rPr>
        <w:t>《新乡学院章程》</w:t>
      </w:r>
      <w:r>
        <w:rPr>
          <w:rFonts w:hint="eastAsia" w:ascii="仿宋_GB2312" w:eastAsia="仿宋_GB2312"/>
          <w:sz w:val="32"/>
          <w:szCs w:val="32"/>
        </w:rPr>
        <w:t>为</w:t>
      </w:r>
      <w:r>
        <w:rPr>
          <w:rFonts w:hint="eastAsia" w:ascii="仿宋_GB2312" w:eastAsia="仿宋_GB2312"/>
          <w:sz w:val="32"/>
          <w:szCs w:val="32"/>
          <w:lang w:eastAsia="zh-CN"/>
        </w:rPr>
        <w:t>统领</w:t>
      </w:r>
      <w:r>
        <w:rPr>
          <w:rFonts w:hint="eastAsia" w:ascii="仿宋_GB2312" w:eastAsia="仿宋_GB2312"/>
          <w:sz w:val="32"/>
          <w:szCs w:val="32"/>
        </w:rPr>
        <w:t>的配套制度体系建设，完善内部治理结构，规范依法办学行为，建立健全规范统一、分类科学、层次清晰、运行高效的现代制度体系，形成结合学校实际、具有学校特色的现代大学制度体系。加强高等教育研究，为高水平应用型本科高校建设和学校重大改革提供决策建议。着力做好河南省扩充遴选示范性应用技术类型本科高校相关工作，力争进入示范校行列。</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41.</w:t>
      </w:r>
      <w:r>
        <w:rPr>
          <w:rFonts w:hint="eastAsia" w:ascii="仿宋_GB2312" w:eastAsia="仿宋_GB2312"/>
          <w:b/>
          <w:bCs/>
          <w:sz w:val="32"/>
          <w:szCs w:val="32"/>
        </w:rPr>
        <w:t>继续规范和加强财务、审计管理工作。</w:t>
      </w:r>
      <w:r>
        <w:rPr>
          <w:rFonts w:hint="eastAsia" w:ascii="仿宋_GB2312" w:eastAsia="仿宋_GB2312"/>
          <w:sz w:val="32"/>
          <w:szCs w:val="32"/>
        </w:rPr>
        <w:t>完善学校财务制度，升级财务管理系统，进一步提升会计核算质量和财务管理水平。加强财务精细化管理，科学合理分配资金使用，大力推进开源节流，积极争取上级拨款和专项债券，探索制定预算绩效考核制度，提升资金支出效益，助力学校高质量发展。做好离任干部经济审计工作及图书馆决算的审计工作，做好各类项目审计工作，提高审计实效。</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42.</w:t>
      </w:r>
      <w:r>
        <w:rPr>
          <w:rFonts w:hint="eastAsia" w:ascii="仿宋_GB2312" w:eastAsia="仿宋_GB2312"/>
          <w:b/>
          <w:bCs/>
          <w:sz w:val="32"/>
          <w:szCs w:val="32"/>
        </w:rPr>
        <w:t>推进国有资产管理工作规范化。</w:t>
      </w:r>
      <w:r>
        <w:rPr>
          <w:rFonts w:hint="eastAsia" w:ascii="仿宋_GB2312" w:eastAsia="仿宋_GB2312"/>
          <w:sz w:val="32"/>
          <w:szCs w:val="32"/>
        </w:rPr>
        <w:t>完善国有资产管理体系和制度建设，摸清底数，盘活存量，优配增量，逐步实现国有资产全口径动态管理。做好政府专项债券项目建设，优先考虑新专业建设、国家级和省级一流专业、基础教学需要。做好国有资产管理信息化建设，优化资产管理模式。强化招标前期管控，加强筛选关键需求，加快项目进度，确保招标采购质量。做好重点资产核查以及采购人责任考核。</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43.</w:t>
      </w:r>
      <w:r>
        <w:rPr>
          <w:rFonts w:hint="eastAsia" w:ascii="仿宋_GB2312" w:eastAsia="仿宋_GB2312"/>
          <w:b/>
          <w:bCs/>
          <w:sz w:val="32"/>
          <w:szCs w:val="32"/>
        </w:rPr>
        <w:t>加强外事管理工作。</w:t>
      </w:r>
      <w:r>
        <w:rPr>
          <w:rFonts w:hint="eastAsia" w:ascii="仿宋_GB2312" w:eastAsia="仿宋_GB2312"/>
          <w:sz w:val="32"/>
          <w:szCs w:val="32"/>
        </w:rPr>
        <w:t>积极开展留学基金委项目申报和执行工作。多渠道、多种方式引进外籍教师，加强对外籍教师资格审查和管理，重点做好外籍教师的意识形态工作，提高外籍教师队伍水平。做好国（境）来访讲学、研究、学术交流，及教师出国（境）进修培训等的组织管理。</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44.</w:t>
      </w:r>
      <w:r>
        <w:rPr>
          <w:rFonts w:hint="eastAsia" w:ascii="仿宋_GB2312" w:eastAsia="仿宋_GB2312"/>
          <w:b/>
          <w:bCs/>
          <w:sz w:val="32"/>
          <w:szCs w:val="32"/>
        </w:rPr>
        <w:t>加快推进重点工程建设。</w:t>
      </w:r>
      <w:r>
        <w:rPr>
          <w:rFonts w:hint="eastAsia" w:ascii="仿宋_GB2312" w:eastAsia="仿宋_GB2312"/>
          <w:sz w:val="32"/>
          <w:szCs w:val="32"/>
        </w:rPr>
        <w:t>以人才公寓、</w:t>
      </w:r>
      <w:r>
        <w:rPr>
          <w:rFonts w:ascii="仿宋_GB2312" w:eastAsia="仿宋_GB2312"/>
          <w:sz w:val="32"/>
          <w:szCs w:val="32"/>
        </w:rPr>
        <w:t>A08</w:t>
      </w:r>
      <w:r>
        <w:rPr>
          <w:rFonts w:hint="eastAsia" w:ascii="仿宋_GB2312" w:eastAsia="仿宋_GB2312"/>
          <w:sz w:val="32"/>
          <w:szCs w:val="32"/>
        </w:rPr>
        <w:t>综合教学楼、第三餐厅和宿舍项目为重点，积极推进艺体楼、研修院项目的立项审批等建设前期工作，深入推进已完成项目的审计结算、工程款支付、项目移交等。积极推进医学校区的规划设计及项目立项报建工作。完成校园二次规划工作，启动博雅苑</w:t>
      </w:r>
      <w:r>
        <w:rPr>
          <w:rFonts w:ascii="仿宋_GB2312" w:eastAsia="仿宋_GB2312"/>
          <w:sz w:val="32"/>
          <w:szCs w:val="32"/>
        </w:rPr>
        <w:t>—</w:t>
      </w:r>
      <w:r>
        <w:rPr>
          <w:rFonts w:hint="eastAsia" w:ascii="仿宋_GB2312" w:eastAsia="仿宋_GB2312"/>
          <w:sz w:val="32"/>
          <w:szCs w:val="32"/>
        </w:rPr>
        <w:t>和谐湖景观改造方案及多功能报告厅设计方案立项招标等相关工作。加大校史馆建设力度，展示学校风采和办学硕果，打造校园文化品牌。</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45.</w:t>
      </w:r>
      <w:r>
        <w:rPr>
          <w:rFonts w:hint="eastAsia" w:ascii="仿宋_GB2312" w:eastAsia="仿宋_GB2312"/>
          <w:b/>
          <w:bCs/>
          <w:sz w:val="32"/>
          <w:szCs w:val="32"/>
        </w:rPr>
        <w:t>持续提升服务地方经济社会的能力。</w:t>
      </w:r>
      <w:r>
        <w:rPr>
          <w:rFonts w:hint="eastAsia" w:ascii="仿宋_GB2312" w:eastAsia="仿宋_GB2312"/>
          <w:sz w:val="32"/>
          <w:szCs w:val="32"/>
        </w:rPr>
        <w:t>加强与地方的交流合作，积极对接郑洛新自主创新示范区各项工作，完成第四届高校院所河南科技成果博览会相关工作，举办中国机械工程学会起重机专委会年会、语言文字研讨会等论坛，扩大学校的影响力，更好地服务地方经济社会建设。加强与市政府沟通协调，持续推进新原校区资源利用工作。扎实做好师范教育实习实训基地教学管理工作，选优配强教师队伍。</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46.</w:t>
      </w:r>
      <w:r>
        <w:rPr>
          <w:rFonts w:hint="eastAsia" w:ascii="仿宋_GB2312" w:eastAsia="仿宋_GB2312"/>
          <w:b/>
          <w:bCs/>
          <w:sz w:val="32"/>
          <w:szCs w:val="32"/>
        </w:rPr>
        <w:t>持续推进校园信息规范化管理。</w:t>
      </w:r>
      <w:r>
        <w:rPr>
          <w:rFonts w:hint="eastAsia" w:ascii="仿宋_GB2312" w:eastAsia="仿宋_GB2312"/>
          <w:sz w:val="32"/>
          <w:szCs w:val="32"/>
        </w:rPr>
        <w:t>推进无纸化会议系统建设，提高学校信息化办公水平；推进一站式网上服务大厅建设，提高学校现代化治理水平。加强所辖语音实验室、计算机实验室、多媒体教室、微格实训中心等信息化教学平台的维护与建设和升级改造，进一步提升学校信息化教学服务能力。推进学校大数据中心建设，提升学校智慧化管理水平，实现“数据一个库、决策一个键、管理一张表、服务一个站”，为学校教学、科研、管理提供便捷服务。完善校园网安全体系，提升校园网安全防护能力。积极推进我校首席信息官（</w:t>
      </w:r>
      <w:r>
        <w:rPr>
          <w:rFonts w:ascii="仿宋_GB2312" w:eastAsia="仿宋_GB2312"/>
          <w:sz w:val="32"/>
          <w:szCs w:val="32"/>
        </w:rPr>
        <w:t>CIO</w:t>
      </w:r>
      <w:r>
        <w:rPr>
          <w:rFonts w:hint="eastAsia" w:ascii="仿宋_GB2312" w:eastAsia="仿宋_GB2312"/>
          <w:sz w:val="32"/>
          <w:szCs w:val="32"/>
        </w:rPr>
        <w:t>）制度，完善学校信息化的制度化和规范化建设。做好图书馆新馆各功能区域、各自动化系统联调联试工作，实现各功能区域逐步开放。</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七、建好平安和谐校园，营造优质育人环境</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47.</w:t>
      </w:r>
      <w:r>
        <w:rPr>
          <w:rFonts w:hint="eastAsia" w:ascii="仿宋_GB2312" w:eastAsia="仿宋_GB2312"/>
          <w:b/>
          <w:bCs/>
          <w:sz w:val="32"/>
          <w:szCs w:val="32"/>
        </w:rPr>
        <w:t>扎实做好后勤服务保障。</w:t>
      </w:r>
      <w:r>
        <w:rPr>
          <w:rFonts w:hint="eastAsia" w:ascii="仿宋_GB2312" w:eastAsia="仿宋_GB2312"/>
          <w:sz w:val="32"/>
          <w:szCs w:val="32"/>
        </w:rPr>
        <w:t>推进服务工作“层级化管理、程序化管理和精细化管理。全面推进金穗校区供暖管网改造项目，落实金穗校区</w:t>
      </w:r>
      <w:r>
        <w:rPr>
          <w:rFonts w:ascii="仿宋_GB2312" w:eastAsia="仿宋_GB2312"/>
          <w:sz w:val="32"/>
          <w:szCs w:val="32"/>
        </w:rPr>
        <w:t>C</w:t>
      </w:r>
      <w:r>
        <w:rPr>
          <w:rFonts w:hint="eastAsia" w:ascii="仿宋_GB2312" w:eastAsia="仿宋_GB2312"/>
          <w:sz w:val="32"/>
          <w:szCs w:val="32"/>
        </w:rPr>
        <w:t>区家属区暖气管网串改并，提升供暖质量。推进餐厅</w:t>
      </w:r>
      <w:r>
        <w:rPr>
          <w:rFonts w:ascii="仿宋_GB2312" w:eastAsia="仿宋_GB2312"/>
          <w:sz w:val="32"/>
          <w:szCs w:val="32"/>
        </w:rPr>
        <w:t>BOT</w:t>
      </w:r>
      <w:r>
        <w:rPr>
          <w:rFonts w:hint="eastAsia" w:ascii="仿宋_GB2312" w:eastAsia="仿宋_GB2312"/>
          <w:sz w:val="32"/>
          <w:szCs w:val="32"/>
        </w:rPr>
        <w:t>模式改革，加强食品安全保障，提升餐饮服务质量。开展公共区域的物业改革，提高服务质量。做好充电桩建设、电力增容和办公家具、课桌的采购等工作。</w:t>
      </w:r>
    </w:p>
    <w:p>
      <w:pPr>
        <w:adjustRightInd w:val="0"/>
        <w:spacing w:line="560" w:lineRule="exact"/>
        <w:ind w:firstLine="643" w:firstLineChars="200"/>
        <w:rPr>
          <w:rFonts w:ascii="仿宋_GB2312" w:eastAsia="仿宋_GB2312"/>
          <w:sz w:val="32"/>
          <w:szCs w:val="32"/>
        </w:rPr>
      </w:pPr>
      <w:r>
        <w:rPr>
          <w:rFonts w:ascii="仿宋_GB2312" w:eastAsia="仿宋_GB2312"/>
          <w:b/>
          <w:bCs/>
          <w:sz w:val="32"/>
          <w:szCs w:val="32"/>
        </w:rPr>
        <w:t>48.</w:t>
      </w:r>
      <w:r>
        <w:rPr>
          <w:rFonts w:hint="eastAsia" w:ascii="仿宋_GB2312" w:eastAsia="仿宋_GB2312"/>
          <w:b/>
          <w:bCs/>
          <w:sz w:val="32"/>
          <w:szCs w:val="32"/>
        </w:rPr>
        <w:t>全力维护校园安全稳定。</w:t>
      </w:r>
      <w:r>
        <w:rPr>
          <w:rFonts w:hint="eastAsia" w:ascii="仿宋_GB2312" w:eastAsia="仿宋_GB2312"/>
          <w:sz w:val="32"/>
          <w:szCs w:val="32"/>
        </w:rPr>
        <w:t>加强出入人员和车辆排查，强化重点人群和重点部位管理。完善安全管理制度，强化应急处置能力，提升安全科技化和信息化水平。深入开展“平安校园”建设，统筹抓好校园安全生产、食品卫生、治安消防、车辆交通、学生安全、实验室安全的防控管理，持续推进校园环境综合整治。加强安全宣传教育，以国家安全、疫情防控、预防电信诈骗、消防安全、实验室安全、危化品安全、防盗窃等作为宣传教育重点，开展灭火、逃生、防诈、避险演练。加快推进双重预防体系建设。树立总体国家安全观，注重把控时间节点，加强重大政治活动、重大敏感时期的安全稳控工作，防范化解政治风险。</w:t>
      </w:r>
    </w:p>
    <w:p>
      <w:pPr>
        <w:adjustRightInd w:val="0"/>
        <w:snapToGrid w:val="0"/>
        <w:spacing w:line="360" w:lineRule="auto"/>
        <w:ind w:firstLine="640" w:firstLineChars="200"/>
        <w:rPr>
          <w:rFonts w:hint="eastAsia" w:ascii="仿宋_GB2312" w:hAnsi="仿宋_GB2312" w:eastAsia="仿宋_GB2312" w:cs="仿宋_GB2312"/>
          <w:color w:val="0000FF"/>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p>
    <w:tbl>
      <w:tblPr>
        <w:tblStyle w:val="7"/>
        <w:tblpPr w:leftFromText="180" w:rightFromText="180" w:vertAnchor="text" w:horzAnchor="page" w:tblpX="1886" w:tblpY="119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68" w:type="dxa"/>
            <w:tcBorders>
              <w:left w:val="nil"/>
              <w:right w:val="nil"/>
            </w:tcBorders>
            <w:vAlign w:val="center"/>
          </w:tcPr>
          <w:p>
            <w:pPr>
              <w:tabs>
                <w:tab w:val="left" w:pos="7740"/>
              </w:tabs>
              <w:spacing w:line="360" w:lineRule="auto"/>
              <w:jc w:val="center"/>
              <w:rPr>
                <w:rFonts w:eastAsia="仿宋_GB2312"/>
                <w:sz w:val="28"/>
                <w:szCs w:val="28"/>
              </w:rPr>
            </w:pPr>
            <w:r>
              <w:rPr>
                <w:rFonts w:eastAsia="仿宋_GB2312"/>
                <w:sz w:val="28"/>
                <w:szCs w:val="28"/>
              </w:rPr>
              <w:t>中共新乡学院委员会办公室                20</w:t>
            </w:r>
            <w:r>
              <w:rPr>
                <w:rFonts w:hint="eastAsia" w:eastAsia="仿宋_GB2312"/>
                <w:sz w:val="28"/>
                <w:szCs w:val="28"/>
              </w:rPr>
              <w:t>2</w:t>
            </w:r>
            <w:r>
              <w:rPr>
                <w:rFonts w:hint="eastAsia" w:eastAsia="仿宋_GB2312"/>
                <w:sz w:val="28"/>
                <w:szCs w:val="28"/>
                <w:lang w:val="en-US" w:eastAsia="zh-CN"/>
              </w:rPr>
              <w:t>1</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rPr>
              <w:t>1</w:t>
            </w:r>
            <w:r>
              <w:rPr>
                <w:rFonts w:hint="eastAsia" w:eastAsia="仿宋_GB2312"/>
                <w:sz w:val="28"/>
                <w:szCs w:val="28"/>
                <w:lang w:val="en-US" w:eastAsia="zh-CN"/>
              </w:rPr>
              <w:t>2</w:t>
            </w:r>
            <w:r>
              <w:rPr>
                <w:rFonts w:eastAsia="仿宋_GB2312"/>
                <w:sz w:val="28"/>
                <w:szCs w:val="28"/>
              </w:rPr>
              <w:t>日印发</w:t>
            </w:r>
          </w:p>
        </w:tc>
      </w:tr>
    </w:tbl>
    <w:p>
      <w:pPr>
        <w:spacing w:line="20" w:lineRule="exact"/>
      </w:pP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19</w:t>
    </w:r>
    <w:r>
      <w:rPr>
        <w:sz w:val="28"/>
        <w:szCs w:val="28"/>
      </w:rPr>
      <w:fldChar w:fldCharType="end"/>
    </w:r>
    <w:r>
      <w:rPr>
        <w:rStyle w:val="10"/>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20</w:t>
    </w:r>
    <w:r>
      <w:rPr>
        <w:sz w:val="28"/>
        <w:szCs w:val="28"/>
      </w:rPr>
      <w:fldChar w:fldCharType="end"/>
    </w:r>
    <w:r>
      <w:rPr>
        <w:rStyle w:val="10"/>
        <w:rFonts w:hint="eastAsia"/>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79"/>
    <w:rsid w:val="0001419C"/>
    <w:rsid w:val="00017BE8"/>
    <w:rsid w:val="00046D25"/>
    <w:rsid w:val="00051F51"/>
    <w:rsid w:val="000655A2"/>
    <w:rsid w:val="00071D77"/>
    <w:rsid w:val="00097690"/>
    <w:rsid w:val="000978A5"/>
    <w:rsid w:val="000B2D10"/>
    <w:rsid w:val="000F1B24"/>
    <w:rsid w:val="000F5DDC"/>
    <w:rsid w:val="00122933"/>
    <w:rsid w:val="00122D8C"/>
    <w:rsid w:val="001278A2"/>
    <w:rsid w:val="00127993"/>
    <w:rsid w:val="00153337"/>
    <w:rsid w:val="00184318"/>
    <w:rsid w:val="00184BEF"/>
    <w:rsid w:val="001C4712"/>
    <w:rsid w:val="001D6E66"/>
    <w:rsid w:val="001F1258"/>
    <w:rsid w:val="002024AA"/>
    <w:rsid w:val="0022126B"/>
    <w:rsid w:val="002242A5"/>
    <w:rsid w:val="00233723"/>
    <w:rsid w:val="002461A1"/>
    <w:rsid w:val="00260657"/>
    <w:rsid w:val="00260EA0"/>
    <w:rsid w:val="00261E0A"/>
    <w:rsid w:val="00293CCD"/>
    <w:rsid w:val="002D5EBB"/>
    <w:rsid w:val="002E23D6"/>
    <w:rsid w:val="002E5423"/>
    <w:rsid w:val="00306311"/>
    <w:rsid w:val="00331FF1"/>
    <w:rsid w:val="00361264"/>
    <w:rsid w:val="00375F3D"/>
    <w:rsid w:val="003768F6"/>
    <w:rsid w:val="00385F07"/>
    <w:rsid w:val="003925D9"/>
    <w:rsid w:val="00392AC3"/>
    <w:rsid w:val="003967F4"/>
    <w:rsid w:val="003B3DA3"/>
    <w:rsid w:val="003F5DE7"/>
    <w:rsid w:val="003F7292"/>
    <w:rsid w:val="00411167"/>
    <w:rsid w:val="00427875"/>
    <w:rsid w:val="004304BC"/>
    <w:rsid w:val="00450479"/>
    <w:rsid w:val="0045488F"/>
    <w:rsid w:val="0047555C"/>
    <w:rsid w:val="00496842"/>
    <w:rsid w:val="004B6545"/>
    <w:rsid w:val="004C67AE"/>
    <w:rsid w:val="004F2EF3"/>
    <w:rsid w:val="004F49D0"/>
    <w:rsid w:val="0050069F"/>
    <w:rsid w:val="0057051F"/>
    <w:rsid w:val="005953D9"/>
    <w:rsid w:val="005A018D"/>
    <w:rsid w:val="005B164A"/>
    <w:rsid w:val="005B642A"/>
    <w:rsid w:val="005D250A"/>
    <w:rsid w:val="00604D55"/>
    <w:rsid w:val="0060648C"/>
    <w:rsid w:val="00617E7B"/>
    <w:rsid w:val="0063428C"/>
    <w:rsid w:val="006660CF"/>
    <w:rsid w:val="00670180"/>
    <w:rsid w:val="00681A73"/>
    <w:rsid w:val="00683802"/>
    <w:rsid w:val="006A1DF7"/>
    <w:rsid w:val="006C2743"/>
    <w:rsid w:val="006D6A2E"/>
    <w:rsid w:val="006D72B5"/>
    <w:rsid w:val="006E0827"/>
    <w:rsid w:val="00735261"/>
    <w:rsid w:val="00736C17"/>
    <w:rsid w:val="00740C91"/>
    <w:rsid w:val="00741064"/>
    <w:rsid w:val="007A7591"/>
    <w:rsid w:val="007D250F"/>
    <w:rsid w:val="007D7934"/>
    <w:rsid w:val="008003F6"/>
    <w:rsid w:val="00830CEA"/>
    <w:rsid w:val="00851D12"/>
    <w:rsid w:val="00854EEF"/>
    <w:rsid w:val="0087524D"/>
    <w:rsid w:val="00880BB0"/>
    <w:rsid w:val="008909EA"/>
    <w:rsid w:val="00890E96"/>
    <w:rsid w:val="008C6D41"/>
    <w:rsid w:val="008D7C1E"/>
    <w:rsid w:val="00924BB5"/>
    <w:rsid w:val="009269D2"/>
    <w:rsid w:val="00932B42"/>
    <w:rsid w:val="00975FA1"/>
    <w:rsid w:val="009B4C3A"/>
    <w:rsid w:val="009D3D8B"/>
    <w:rsid w:val="009E1926"/>
    <w:rsid w:val="009E381D"/>
    <w:rsid w:val="009F002C"/>
    <w:rsid w:val="009F269B"/>
    <w:rsid w:val="00A039CA"/>
    <w:rsid w:val="00A252D7"/>
    <w:rsid w:val="00A41C39"/>
    <w:rsid w:val="00A45DA9"/>
    <w:rsid w:val="00A46016"/>
    <w:rsid w:val="00A56AF7"/>
    <w:rsid w:val="00A56B3E"/>
    <w:rsid w:val="00A57223"/>
    <w:rsid w:val="00AC78BC"/>
    <w:rsid w:val="00B070CC"/>
    <w:rsid w:val="00B07CEE"/>
    <w:rsid w:val="00B2323A"/>
    <w:rsid w:val="00B40844"/>
    <w:rsid w:val="00BA6806"/>
    <w:rsid w:val="00BB1954"/>
    <w:rsid w:val="00BE3898"/>
    <w:rsid w:val="00C0097D"/>
    <w:rsid w:val="00C03A24"/>
    <w:rsid w:val="00C11BB6"/>
    <w:rsid w:val="00C232C2"/>
    <w:rsid w:val="00C434D8"/>
    <w:rsid w:val="00C56856"/>
    <w:rsid w:val="00C92B8B"/>
    <w:rsid w:val="00CA0F8A"/>
    <w:rsid w:val="00CB354A"/>
    <w:rsid w:val="00CF7C91"/>
    <w:rsid w:val="00D3778E"/>
    <w:rsid w:val="00D9272C"/>
    <w:rsid w:val="00DA161A"/>
    <w:rsid w:val="00DA3299"/>
    <w:rsid w:val="00DD19FC"/>
    <w:rsid w:val="00DE4B84"/>
    <w:rsid w:val="00DE76F1"/>
    <w:rsid w:val="00E0218C"/>
    <w:rsid w:val="00E05BEC"/>
    <w:rsid w:val="00E11AD7"/>
    <w:rsid w:val="00E360B0"/>
    <w:rsid w:val="00E42573"/>
    <w:rsid w:val="00E677F3"/>
    <w:rsid w:val="00E74EC4"/>
    <w:rsid w:val="00E94D84"/>
    <w:rsid w:val="00E96817"/>
    <w:rsid w:val="00EB5B48"/>
    <w:rsid w:val="00EC1717"/>
    <w:rsid w:val="00F036E3"/>
    <w:rsid w:val="00F05750"/>
    <w:rsid w:val="00F1533C"/>
    <w:rsid w:val="00F67BDE"/>
    <w:rsid w:val="00F730CF"/>
    <w:rsid w:val="00F7594F"/>
    <w:rsid w:val="00F775FC"/>
    <w:rsid w:val="00FF6485"/>
    <w:rsid w:val="08A94E9A"/>
    <w:rsid w:val="0DDF3333"/>
    <w:rsid w:val="22142F05"/>
    <w:rsid w:val="2E5009DB"/>
    <w:rsid w:val="49BB014D"/>
    <w:rsid w:val="57305F8B"/>
    <w:rsid w:val="64D36683"/>
    <w:rsid w:val="6CBD0D75"/>
    <w:rsid w:val="7BA3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3"/>
    <w:semiHidden/>
    <w:qFormat/>
    <w:uiPriority w:val="0"/>
    <w:rPr>
      <w:kern w:val="0"/>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rPr>
      <w:rFonts w:ascii="Calibri" w:hAnsi="Calibri" w:cs="Calibri"/>
      <w:sz w:val="24"/>
    </w:rPr>
  </w:style>
  <w:style w:type="character" w:styleId="9">
    <w:name w:val="Strong"/>
    <w:qFormat/>
    <w:locked/>
    <w:uiPriority w:val="0"/>
    <w:rPr>
      <w:b/>
    </w:rPr>
  </w:style>
  <w:style w:type="character" w:styleId="10">
    <w:name w:val="page number"/>
    <w:basedOn w:val="8"/>
    <w:qFormat/>
    <w:uiPriority w:val="0"/>
  </w:style>
  <w:style w:type="character" w:customStyle="1" w:styleId="11">
    <w:name w:val="页眉 Char"/>
    <w:link w:val="5"/>
    <w:qFormat/>
    <w:locked/>
    <w:uiPriority w:val="0"/>
    <w:rPr>
      <w:rFonts w:ascii="Times New Roman" w:hAnsi="Times New Roman" w:eastAsia="宋体" w:cs="Times New Roman"/>
      <w:sz w:val="18"/>
      <w:szCs w:val="18"/>
    </w:rPr>
  </w:style>
  <w:style w:type="character" w:customStyle="1" w:styleId="12">
    <w:name w:val="页脚 Char"/>
    <w:link w:val="4"/>
    <w:qFormat/>
    <w:locked/>
    <w:uiPriority w:val="99"/>
    <w:rPr>
      <w:rFonts w:ascii="Times New Roman" w:hAnsi="Times New Roman" w:eastAsia="宋体" w:cs="Times New Roman"/>
      <w:sz w:val="18"/>
      <w:szCs w:val="18"/>
    </w:rPr>
  </w:style>
  <w:style w:type="character" w:customStyle="1" w:styleId="13">
    <w:name w:val="批注框文本 Char"/>
    <w:link w:val="3"/>
    <w:semiHidden/>
    <w:qFormat/>
    <w:locked/>
    <w:uiPriority w:val="0"/>
    <w:rPr>
      <w:rFonts w:ascii="Times New Roman" w:hAnsi="Times New Roman" w:eastAsia="宋体" w:cs="Times New Roman"/>
      <w:sz w:val="18"/>
      <w:szCs w:val="18"/>
    </w:rPr>
  </w:style>
  <w:style w:type="character" w:customStyle="1" w:styleId="14">
    <w:name w:val="日期 Char"/>
    <w:link w:val="2"/>
    <w:qFormat/>
    <w:uiPriority w:val="0"/>
    <w:rPr>
      <w:rFonts w:ascii="Times New Roman" w:hAnsi="Times New Roman"/>
      <w:kern w:val="2"/>
      <w:sz w:val="21"/>
      <w:szCs w:val="24"/>
    </w:rPr>
  </w:style>
  <w:style w:type="character" w:customStyle="1" w:styleId="15">
    <w:name w:val="15"/>
    <w:qFormat/>
    <w:uiPriority w:val="0"/>
    <w:rPr>
      <w:rFonts w:hint="default" w:ascii="Calibri" w:hAnsi="Calibri" w:cs="Calibri"/>
    </w:rPr>
  </w:style>
  <w:style w:type="character" w:customStyle="1" w:styleId="1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CHN</Company>
  <Pages>20</Pages>
  <Words>1661</Words>
  <Characters>9473</Characters>
  <Lines>78</Lines>
  <Paragraphs>22</Paragraphs>
  <TotalTime>17</TotalTime>
  <ScaleCrop>false</ScaleCrop>
  <LinksUpToDate>false</LinksUpToDate>
  <CharactersWithSpaces>11112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2020-05-27T02:19:00Z</dcterms:created>
  <dc:creator>USER</dc:creator>
  <cp:lastModifiedBy>荷</cp:lastModifiedBy>
  <cp:lastPrinted>2020-05-22T07:46:00Z</cp:lastPrinted>
  <dcterms:modified xsi:type="dcterms:W3CDTF">2021-04-14T02:39:28Z</dcterms:modified>
  <dc:title>院党字〔2015〕号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_DocHome">
    <vt:i4>710974925</vt:i4>
  </property>
  <property fmtid="{D5CDD505-2E9C-101B-9397-08002B2CF9AE}" pid="4" name="ICV">
    <vt:lpwstr>A35FB1DF836547AD968713FD512508C0</vt:lpwstr>
  </property>
</Properties>
</file>