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495" w:lineRule="atLeast"/>
        <w:jc w:val="center"/>
        <w:rPr>
          <w:rFonts w:ascii="楷体" w:hAnsi="楷体" w:eastAsia="楷体" w:cs="宋体"/>
          <w:b/>
          <w:bCs/>
          <w:color w:val="262626"/>
          <w:kern w:val="0"/>
          <w:sz w:val="29"/>
          <w:szCs w:val="29"/>
        </w:rPr>
      </w:pPr>
      <w:r>
        <w:rPr>
          <w:rFonts w:hint="eastAsia" w:ascii="楷体" w:hAnsi="楷体" w:eastAsia="楷体" w:cs="宋体"/>
          <w:b/>
          <w:bCs/>
          <w:color w:val="262626"/>
          <w:kern w:val="0"/>
          <w:sz w:val="29"/>
          <w:szCs w:val="29"/>
        </w:rPr>
        <w:t>《新乡学院</w:t>
      </w:r>
      <w:r>
        <w:rPr>
          <w:rFonts w:ascii="楷体" w:hAnsi="楷体" w:eastAsia="楷体" w:cs="宋体"/>
          <w:b/>
          <w:bCs/>
          <w:color w:val="262626"/>
          <w:kern w:val="0"/>
          <w:sz w:val="29"/>
          <w:szCs w:val="29"/>
        </w:rPr>
        <w:t>2019</w:t>
      </w:r>
      <w:r>
        <w:rPr>
          <w:rFonts w:hint="eastAsia" w:ascii="楷体" w:hAnsi="楷体" w:eastAsia="楷体" w:cs="宋体"/>
          <w:b/>
          <w:bCs/>
          <w:color w:val="262626"/>
          <w:kern w:val="0"/>
          <w:sz w:val="29"/>
          <w:szCs w:val="29"/>
        </w:rPr>
        <w:t>—20</w:t>
      </w:r>
      <w:r>
        <w:rPr>
          <w:rFonts w:ascii="楷体" w:hAnsi="楷体" w:eastAsia="楷体" w:cs="宋体"/>
          <w:b/>
          <w:bCs/>
          <w:color w:val="262626"/>
          <w:kern w:val="0"/>
          <w:sz w:val="29"/>
          <w:szCs w:val="29"/>
        </w:rPr>
        <w:t>20</w:t>
      </w:r>
      <w:r>
        <w:rPr>
          <w:rFonts w:hint="eastAsia" w:ascii="楷体" w:hAnsi="楷体" w:eastAsia="楷体" w:cs="宋体"/>
          <w:b/>
          <w:bCs/>
          <w:color w:val="262626"/>
          <w:kern w:val="0"/>
          <w:sz w:val="29"/>
          <w:szCs w:val="29"/>
        </w:rPr>
        <w:t>学年本科教学质量报告》撰写任务分工表</w:t>
      </w:r>
    </w:p>
    <w:tbl>
      <w:tblPr>
        <w:tblStyle w:val="4"/>
        <w:tblW w:w="8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4111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编写项目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编写文稿内容</w:t>
            </w:r>
          </w:p>
        </w:tc>
        <w:tc>
          <w:tcPr>
            <w:tcW w:w="2348" w:type="dxa"/>
            <w:vAlign w:val="center"/>
          </w:tcPr>
          <w:p>
            <w:pPr>
              <w:ind w:firstLine="482" w:firstLineChars="200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ind w:firstLine="240" w:firstLineChars="10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序言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N0-1 学校概况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校长办公室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本科教育基本情况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N1-1本科人才培养目标及服务面向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发展规划处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N1-2本科专业设置情况</w:t>
            </w:r>
          </w:p>
        </w:tc>
        <w:tc>
          <w:tcPr>
            <w:tcW w:w="2348" w:type="dxa"/>
            <w:vMerge w:val="restart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N1-3各类全日制在校学生情况及本科生所占比例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N1-4本科生源质量情况</w:t>
            </w:r>
          </w:p>
        </w:tc>
        <w:tc>
          <w:tcPr>
            <w:tcW w:w="2348" w:type="dxa"/>
            <w:vAlign w:val="center"/>
          </w:tcPr>
          <w:p>
            <w:pPr>
              <w:ind w:left="360" w:hanging="360" w:hangingChars="15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招生与就业处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师资与教学条件</w:t>
            </w: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N2-1师资队伍数量及结构情况</w:t>
            </w:r>
          </w:p>
        </w:tc>
        <w:tc>
          <w:tcPr>
            <w:tcW w:w="2348" w:type="dxa"/>
            <w:vMerge w:val="restart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人事处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N2-2生师比情况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ind w:left="360" w:hanging="360" w:hangingChars="15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N2-3本科课程主讲教师情况</w:t>
            </w:r>
          </w:p>
        </w:tc>
        <w:tc>
          <w:tcPr>
            <w:tcW w:w="2348" w:type="dxa"/>
            <w:vMerge w:val="restart"/>
            <w:vAlign w:val="center"/>
          </w:tcPr>
          <w:p>
            <w:pPr>
              <w:ind w:left="360" w:hanging="360" w:hangingChars="15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N2-4教授承担本科课程情况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ind w:left="360" w:hanging="360" w:hangingChars="15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N2-5教学经费投入情况</w:t>
            </w:r>
          </w:p>
        </w:tc>
        <w:tc>
          <w:tcPr>
            <w:tcW w:w="2348" w:type="dxa"/>
            <w:vAlign w:val="center"/>
          </w:tcPr>
          <w:p>
            <w:pPr>
              <w:ind w:left="360" w:hanging="360" w:hangingChars="15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N2-6教学行政用房及其利用情况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后勤管理处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N2-7图书资料及其利用情况</w:t>
            </w:r>
          </w:p>
        </w:tc>
        <w:tc>
          <w:tcPr>
            <w:tcW w:w="2348" w:type="dxa"/>
            <w:vAlign w:val="center"/>
          </w:tcPr>
          <w:p>
            <w:pPr>
              <w:ind w:left="360" w:hanging="360" w:hangingChars="15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N2-8教学科研仪器设备及其利用情况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国有资产管理处 教务处 科研处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实验实训中心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N2-9信息资源及其利用情况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信息化管理中心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N3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教学建设与改革</w:t>
            </w: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N3-1专业建设情况</w:t>
            </w:r>
          </w:p>
        </w:tc>
        <w:tc>
          <w:tcPr>
            <w:tcW w:w="2348" w:type="dxa"/>
            <w:vMerge w:val="restart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N3-2课程建设情况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N3-3教材建设情况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N3-4教学改革情况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N3-5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开设课程门数及选修课开设情况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N3-6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课堂教学规模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N3-7实践教学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3-8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毕业论文（设计）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N3-9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习近平总书记关于教育的重要论述研究必修课开设情况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N3-10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疫情防控状态下教学工作开展情况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N3-11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创新创业教育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招生与就业处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N4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专业培养能力</w:t>
            </w: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N4-1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人才培养目标定位与社会人才需求适应性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vMerge w:val="restart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N4-2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培养方案特点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N4-3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专任教师数量和结构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 xml:space="preserve">4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生师比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 xml:space="preserve">N4-5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教学经费投入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 xml:space="preserve">N4-6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教学资源</w:t>
            </w:r>
          </w:p>
        </w:tc>
        <w:tc>
          <w:tcPr>
            <w:tcW w:w="2348" w:type="dxa"/>
            <w:vMerge w:val="restart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 xml:space="preserve">N4-7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实践教学及实习实训基地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N4-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立德树人落实机制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N4-9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专业课程体系建设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 xml:space="preserve">N4-10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教授授课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 xml:space="preserve">N4-11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实践教学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N4-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创新创业教育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教务处 招生与就业处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N4-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学风管理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质量保障体系</w:t>
            </w: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-1学校人才培养中心地位落实情况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校长办公室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-2校领导班子研究本科教学工作情况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校长办公室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-3学校出台突出教学工作中心地位相关政策措施情况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校长办公室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-4教学质量保障体系建设情况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教学督导与质量监控办公室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-5日常监控及运行情况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教学督导与质量监控办公室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-6本科教学基本状态分析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教学督导与质量监控办公室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-7开展专业评估、专业认证、国际评估情况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教学督导与质量监控办公室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学生学习效果</w:t>
            </w: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-1学生学习满意度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教学督导与质量监控办公室 招生与就业处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-2应届本科生毕业情况</w:t>
            </w:r>
          </w:p>
        </w:tc>
        <w:tc>
          <w:tcPr>
            <w:tcW w:w="2348" w:type="dxa"/>
            <w:vMerge w:val="restart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-3应届本科生学位授予情况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-4应届本科生攻读研究生情况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-5应届本科生就业情况</w:t>
            </w:r>
          </w:p>
        </w:tc>
        <w:tc>
          <w:tcPr>
            <w:tcW w:w="2348" w:type="dxa"/>
            <w:vMerge w:val="restart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招生与就业处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-6社会用人单位对毕业生评价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-7毕业生成就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校友会办公室 招生与就业处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特色发展</w:t>
            </w:r>
          </w:p>
        </w:tc>
        <w:tc>
          <w:tcPr>
            <w:tcW w:w="4111" w:type="dxa"/>
            <w:vAlign w:val="center"/>
          </w:tcPr>
          <w:p>
            <w:pPr>
              <w:ind w:left="600" w:hanging="600" w:hangingChars="2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-1学校在本科教育教学工作中的特色和经验</w:t>
            </w:r>
          </w:p>
        </w:tc>
        <w:tc>
          <w:tcPr>
            <w:tcW w:w="234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教务处 发展规划处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需要解决的问题</w:t>
            </w: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-1存在的主要问题</w:t>
            </w:r>
          </w:p>
        </w:tc>
        <w:tc>
          <w:tcPr>
            <w:tcW w:w="2348" w:type="dxa"/>
            <w:vMerge w:val="restart"/>
            <w:vAlign w:val="center"/>
          </w:tcPr>
          <w:p>
            <w:pPr>
              <w:ind w:left="240" w:hanging="240" w:hangingChars="100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各责任单位 发展规划处 教学督导与质量监控办公室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-2存在问题的原因分析</w:t>
            </w:r>
          </w:p>
        </w:tc>
        <w:tc>
          <w:tcPr>
            <w:tcW w:w="234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360" w:hanging="360" w:hangingChars="150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-3解决问题的措施及建议</w:t>
            </w:r>
          </w:p>
        </w:tc>
        <w:tc>
          <w:tcPr>
            <w:tcW w:w="234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35"/>
    <w:rsid w:val="00021324"/>
    <w:rsid w:val="000656D3"/>
    <w:rsid w:val="000A504D"/>
    <w:rsid w:val="000E0AF4"/>
    <w:rsid w:val="000F5D23"/>
    <w:rsid w:val="00124DC4"/>
    <w:rsid w:val="0014687F"/>
    <w:rsid w:val="00170400"/>
    <w:rsid w:val="00182454"/>
    <w:rsid w:val="00183F17"/>
    <w:rsid w:val="001870E4"/>
    <w:rsid w:val="0027269A"/>
    <w:rsid w:val="002E0F45"/>
    <w:rsid w:val="00312AA6"/>
    <w:rsid w:val="00315E86"/>
    <w:rsid w:val="00385E52"/>
    <w:rsid w:val="00440466"/>
    <w:rsid w:val="00454AF3"/>
    <w:rsid w:val="00523D74"/>
    <w:rsid w:val="005503B3"/>
    <w:rsid w:val="005813AF"/>
    <w:rsid w:val="005D4CCF"/>
    <w:rsid w:val="005E4556"/>
    <w:rsid w:val="00602827"/>
    <w:rsid w:val="00641154"/>
    <w:rsid w:val="006F0629"/>
    <w:rsid w:val="007359CD"/>
    <w:rsid w:val="00794547"/>
    <w:rsid w:val="007C3D1B"/>
    <w:rsid w:val="00812AE5"/>
    <w:rsid w:val="00824E65"/>
    <w:rsid w:val="00862938"/>
    <w:rsid w:val="008705BA"/>
    <w:rsid w:val="008B63A9"/>
    <w:rsid w:val="008C533C"/>
    <w:rsid w:val="008F1D1E"/>
    <w:rsid w:val="00916CBE"/>
    <w:rsid w:val="009201E1"/>
    <w:rsid w:val="0092650E"/>
    <w:rsid w:val="00935EFA"/>
    <w:rsid w:val="009A14A6"/>
    <w:rsid w:val="00A76953"/>
    <w:rsid w:val="00A77214"/>
    <w:rsid w:val="00AC1842"/>
    <w:rsid w:val="00AF113A"/>
    <w:rsid w:val="00BA49A6"/>
    <w:rsid w:val="00BD510C"/>
    <w:rsid w:val="00C24E4A"/>
    <w:rsid w:val="00CC0AB4"/>
    <w:rsid w:val="00D27B29"/>
    <w:rsid w:val="00D4621C"/>
    <w:rsid w:val="00D722F1"/>
    <w:rsid w:val="00E85535"/>
    <w:rsid w:val="00F02235"/>
    <w:rsid w:val="00F33E35"/>
    <w:rsid w:val="00F47C19"/>
    <w:rsid w:val="00F574B8"/>
    <w:rsid w:val="34E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1233</Characters>
  <Lines>10</Lines>
  <Paragraphs>2</Paragraphs>
  <TotalTime>18</TotalTime>
  <ScaleCrop>false</ScaleCrop>
  <LinksUpToDate>false</LinksUpToDate>
  <CharactersWithSpaces>1447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2020-11-03T09:56:00Z</dcterms:created>
  <dc:creator>l jw</dc:creator>
  <cp:lastModifiedBy>24小时</cp:lastModifiedBy>
  <cp:lastPrinted>2020-11-04T03:19:00Z</cp:lastPrinted>
  <dcterms:modified xsi:type="dcterms:W3CDTF">2020-11-04T04:13:28Z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