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60" w:firstLineChars="200"/>
        <w:jc w:val="both"/>
        <w:outlineLvl w:val="2"/>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eastAsia="zh-CN"/>
        </w:rPr>
        <w:t>附件</w:t>
      </w:r>
      <w:r>
        <w:rPr>
          <w:rFonts w:hint="eastAsia" w:ascii="仿宋_GB2312" w:hAnsi="Times New Roman" w:eastAsia="仿宋_GB2312" w:cs="Times New Roman"/>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bookmarkStart w:id="0" w:name="_GoBack"/>
      <w:r>
        <w:rPr>
          <w:rFonts w:hint="eastAsia" w:ascii="黑体" w:hAnsi="黑体" w:eastAsia="黑体" w:cs="黑体"/>
          <w:sz w:val="44"/>
          <w:szCs w:val="44"/>
          <w:lang w:eastAsia="zh-CN"/>
        </w:rPr>
        <w:t>关于规范课程编码及课程名称的暂行规定</w:t>
      </w:r>
      <w:bookmarkEnd w:id="0"/>
    </w:p>
    <w:p>
      <w:pPr>
        <w:spacing w:line="500" w:lineRule="exact"/>
        <w:ind w:firstLine="640" w:firstLineChars="200"/>
        <w:jc w:val="both"/>
        <w:outlineLvl w:val="2"/>
        <w:rPr>
          <w:rFonts w:hint="eastAsia" w:ascii="仿宋_GB2312" w:hAnsi="Times New Roman" w:eastAsia="仿宋_GB2312" w:cs="Times New Roman"/>
          <w:sz w:val="28"/>
          <w:szCs w:val="28"/>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Times New Roman"/>
          <w:sz w:val="28"/>
          <w:szCs w:val="28"/>
          <w:lang w:eastAsia="zh-CN"/>
        </w:rPr>
        <w:t>随着我校本科办学规模的扩大，专业数和课程数逐步增加，为规范课程管理，适应教务管理系统运行需要，加强课程建设与改革，特制定本规定。</w:t>
      </w:r>
    </w:p>
    <w:p>
      <w:pPr>
        <w:spacing w:line="500" w:lineRule="exact"/>
        <w:ind w:firstLine="560" w:firstLineChars="200"/>
        <w:jc w:val="both"/>
        <w:outlineLvl w:val="2"/>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一、课程编码构成</w:t>
      </w:r>
    </w:p>
    <w:p>
      <w:pPr>
        <w:spacing w:line="500" w:lineRule="exact"/>
        <w:ind w:firstLine="560" w:firstLineChars="200"/>
        <w:jc w:val="both"/>
        <w:outlineLvl w:val="2"/>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课程编码须在制（修）订或调整专业人才培养方案时确定，由10位数字组成。其中第一、二位为院（部）代码，第三位为学制代码、第四位为专业代码，第五位为课程代码，第六、七、八位为课程流水码，第九位、十位为课程学分号。</w:t>
      </w:r>
    </w:p>
    <w:p>
      <w:pPr>
        <w:spacing w:line="500" w:lineRule="exact"/>
        <w:ind w:firstLine="560" w:firstLineChars="200"/>
        <w:jc w:val="both"/>
        <w:outlineLvl w:val="2"/>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二、课程编码说明</w:t>
      </w:r>
    </w:p>
    <w:p>
      <w:pPr>
        <w:spacing w:line="500" w:lineRule="exact"/>
        <w:jc w:val="both"/>
        <w:outlineLvl w:val="2"/>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 （一）课程编码的第一、二位是课程的承担院(部）代码。</w:t>
      </w:r>
    </w:p>
    <w:tbl>
      <w:tblPr>
        <w:tblStyle w:val="4"/>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1"/>
        <w:gridCol w:w="960"/>
        <w:gridCol w:w="325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单位名称</w:t>
            </w:r>
          </w:p>
        </w:tc>
        <w:tc>
          <w:tcPr>
            <w:tcW w:w="960"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代码</w:t>
            </w:r>
          </w:p>
        </w:tc>
        <w:tc>
          <w:tcPr>
            <w:tcW w:w="3255"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单位名称</w:t>
            </w:r>
          </w:p>
        </w:tc>
        <w:tc>
          <w:tcPr>
            <w:tcW w:w="885"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商学院</w:t>
            </w:r>
          </w:p>
        </w:tc>
        <w:tc>
          <w:tcPr>
            <w:tcW w:w="960"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01</w:t>
            </w:r>
          </w:p>
        </w:tc>
        <w:tc>
          <w:tcPr>
            <w:tcW w:w="325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音乐学院</w:t>
            </w:r>
          </w:p>
        </w:tc>
        <w:tc>
          <w:tcPr>
            <w:tcW w:w="88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文学院</w:t>
            </w:r>
          </w:p>
        </w:tc>
        <w:tc>
          <w:tcPr>
            <w:tcW w:w="960"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02</w:t>
            </w:r>
          </w:p>
        </w:tc>
        <w:tc>
          <w:tcPr>
            <w:tcW w:w="325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历史与社会发展学院</w:t>
            </w:r>
          </w:p>
        </w:tc>
        <w:tc>
          <w:tcPr>
            <w:tcW w:w="88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外国语学院</w:t>
            </w:r>
          </w:p>
        </w:tc>
        <w:tc>
          <w:tcPr>
            <w:tcW w:w="960"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03</w:t>
            </w:r>
          </w:p>
        </w:tc>
        <w:tc>
          <w:tcPr>
            <w:tcW w:w="325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数学与信息科学学院</w:t>
            </w:r>
          </w:p>
        </w:tc>
        <w:tc>
          <w:tcPr>
            <w:tcW w:w="88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化学化工学院</w:t>
            </w:r>
          </w:p>
        </w:tc>
        <w:tc>
          <w:tcPr>
            <w:tcW w:w="960"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04</w:t>
            </w:r>
          </w:p>
        </w:tc>
        <w:tc>
          <w:tcPr>
            <w:tcW w:w="325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物理与电子工程学院</w:t>
            </w:r>
          </w:p>
        </w:tc>
        <w:tc>
          <w:tcPr>
            <w:tcW w:w="88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机电工程学院</w:t>
            </w:r>
          </w:p>
        </w:tc>
        <w:tc>
          <w:tcPr>
            <w:tcW w:w="960"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05</w:t>
            </w:r>
          </w:p>
        </w:tc>
        <w:tc>
          <w:tcPr>
            <w:tcW w:w="325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生命科学技术学院</w:t>
            </w:r>
          </w:p>
        </w:tc>
        <w:tc>
          <w:tcPr>
            <w:tcW w:w="88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计算机与信息工程学院</w:t>
            </w:r>
          </w:p>
        </w:tc>
        <w:tc>
          <w:tcPr>
            <w:tcW w:w="960"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06</w:t>
            </w:r>
          </w:p>
        </w:tc>
        <w:tc>
          <w:tcPr>
            <w:tcW w:w="325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土木工程与建筑学院</w:t>
            </w:r>
          </w:p>
        </w:tc>
        <w:tc>
          <w:tcPr>
            <w:tcW w:w="88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管理学院</w:t>
            </w:r>
          </w:p>
        </w:tc>
        <w:tc>
          <w:tcPr>
            <w:tcW w:w="960"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07</w:t>
            </w:r>
          </w:p>
        </w:tc>
        <w:tc>
          <w:tcPr>
            <w:tcW w:w="325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马克思主义学院</w:t>
            </w:r>
          </w:p>
        </w:tc>
        <w:tc>
          <w:tcPr>
            <w:tcW w:w="88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艺术学院</w:t>
            </w:r>
          </w:p>
        </w:tc>
        <w:tc>
          <w:tcPr>
            <w:tcW w:w="960"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08</w:t>
            </w:r>
          </w:p>
        </w:tc>
        <w:tc>
          <w:tcPr>
            <w:tcW w:w="325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大学外语部</w:t>
            </w:r>
          </w:p>
        </w:tc>
        <w:tc>
          <w:tcPr>
            <w:tcW w:w="88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教育科学学院</w:t>
            </w:r>
          </w:p>
        </w:tc>
        <w:tc>
          <w:tcPr>
            <w:tcW w:w="960"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325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校际课程</w:t>
            </w:r>
          </w:p>
        </w:tc>
        <w:tc>
          <w:tcPr>
            <w:tcW w:w="88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体育学院</w:t>
            </w:r>
          </w:p>
        </w:tc>
        <w:tc>
          <w:tcPr>
            <w:tcW w:w="960"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325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素质教育中心</w:t>
            </w:r>
          </w:p>
        </w:tc>
        <w:tc>
          <w:tcPr>
            <w:tcW w:w="88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1"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新闻传播学院</w:t>
            </w:r>
          </w:p>
        </w:tc>
        <w:tc>
          <w:tcPr>
            <w:tcW w:w="960"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tc>
        <w:tc>
          <w:tcPr>
            <w:tcW w:w="3255" w:type="dxa"/>
            <w:vAlign w:val="top"/>
          </w:tcPr>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3D打印学院</w:t>
            </w:r>
          </w:p>
        </w:tc>
        <w:tc>
          <w:tcPr>
            <w:tcW w:w="885" w:type="dxa"/>
            <w:vAlign w:val="top"/>
          </w:tcPr>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1"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医学院</w:t>
            </w:r>
          </w:p>
        </w:tc>
        <w:tc>
          <w:tcPr>
            <w:tcW w:w="960"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w:t>
            </w:r>
          </w:p>
        </w:tc>
        <w:tc>
          <w:tcPr>
            <w:tcW w:w="3255"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护理学院</w:t>
            </w:r>
          </w:p>
        </w:tc>
        <w:tc>
          <w:tcPr>
            <w:tcW w:w="885" w:type="dxa"/>
            <w:vAlign w:val="top"/>
          </w:tcPr>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11" w:type="dxa"/>
            <w:vAlign w:val="top"/>
          </w:tcPr>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国际教育与交流学院</w:t>
            </w:r>
          </w:p>
        </w:tc>
        <w:tc>
          <w:tcPr>
            <w:tcW w:w="960" w:type="dxa"/>
            <w:vAlign w:val="top"/>
          </w:tcPr>
          <w:p>
            <w:p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31</w:t>
            </w:r>
          </w:p>
        </w:tc>
        <w:tc>
          <w:tcPr>
            <w:tcW w:w="325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p>
        </w:tc>
        <w:tc>
          <w:tcPr>
            <w:tcW w:w="885" w:type="dxa"/>
            <w:vAlign w:val="top"/>
          </w:tcPr>
          <w:p>
            <w:pPr>
              <w:numPr>
                <w:ilvl w:val="0"/>
                <w:numId w:val="0"/>
              </w:numPr>
              <w:ind w:left="0" w:leftChars="0" w:firstLine="0" w:firstLineChars="0"/>
              <w:rPr>
                <w:rFonts w:hint="eastAsia" w:ascii="仿宋_GB2312" w:hAnsi="仿宋_GB2312" w:eastAsia="仿宋_GB2312" w:cs="仿宋_GB2312"/>
                <w:sz w:val="32"/>
                <w:szCs w:val="32"/>
                <w:vertAlign w:val="baseline"/>
                <w:lang w:val="en-US" w:eastAsia="zh-CN"/>
              </w:rPr>
            </w:pPr>
          </w:p>
        </w:tc>
      </w:tr>
    </w:tbl>
    <w:p>
      <w:pPr>
        <w:spacing w:line="500" w:lineRule="exact"/>
        <w:ind w:firstLine="840" w:firstLineChars="300"/>
        <w:jc w:val="both"/>
        <w:outlineLvl w:val="2"/>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第三、四位数字是学制及专业代码。</w:t>
      </w:r>
    </w:p>
    <w:p>
      <w:pPr>
        <w:spacing w:line="500" w:lineRule="exact"/>
        <w:ind w:firstLine="560" w:firstLineChars="200"/>
        <w:jc w:val="both"/>
        <w:outlineLvl w:val="2"/>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 第三位学制代码：本科为“1”，专科为“2”。</w:t>
      </w:r>
    </w:p>
    <w:p>
      <w:pPr>
        <w:spacing w:line="500" w:lineRule="exact"/>
        <w:ind w:firstLine="560" w:firstLineChars="200"/>
        <w:jc w:val="both"/>
        <w:outlineLvl w:val="2"/>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 第四位专业代码：专业代码，按各院系部各专业在教育部专业目录中专业代码的大小号由小到大排序。</w:t>
      </w:r>
    </w:p>
    <w:p>
      <w:pPr>
        <w:spacing w:line="500" w:lineRule="exact"/>
        <w:ind w:firstLine="640" w:firstLineChars="200"/>
        <w:jc w:val="both"/>
        <w:outlineLvl w:val="2"/>
        <w:rPr>
          <w:rFonts w:hint="eastAsia" w:ascii="仿宋_GB2312" w:hAnsi="Times New Roman" w:eastAsia="仿宋_GB2312" w:cs="Times New Roman"/>
          <w:sz w:val="28"/>
          <w:szCs w:val="28"/>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Times New Roman" w:eastAsia="仿宋_GB2312" w:cs="Times New Roman"/>
          <w:sz w:val="28"/>
          <w:szCs w:val="28"/>
          <w:lang w:val="en-US" w:eastAsia="zh-CN"/>
        </w:rPr>
        <w:t>大学外语部、马克思主义学院、就业指导中心及各其他面向全校开设的公共课专业代码采用“0”。</w:t>
      </w:r>
    </w:p>
    <w:p>
      <w:pPr>
        <w:spacing w:line="500" w:lineRule="exact"/>
        <w:ind w:firstLine="560" w:firstLineChars="200"/>
        <w:jc w:val="both"/>
        <w:outlineLvl w:val="2"/>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  注：</w:t>
      </w:r>
    </w:p>
    <w:p>
      <w:pPr>
        <w:spacing w:line="500" w:lineRule="exact"/>
        <w:ind w:firstLine="560" w:firstLineChars="200"/>
        <w:jc w:val="both"/>
        <w:outlineLvl w:val="2"/>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1.同一院、部相近专业开设的同层次、同名称、同内容、同学分、同要求的课程应编写相同的代码。</w:t>
      </w:r>
    </w:p>
    <w:p>
      <w:pPr>
        <w:spacing w:line="500" w:lineRule="exact"/>
        <w:ind w:firstLine="560" w:firstLineChars="200"/>
        <w:jc w:val="both"/>
        <w:outlineLvl w:val="2"/>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2.校际课程指跨学校选修课程。</w:t>
      </w:r>
    </w:p>
    <w:p>
      <w:pPr>
        <w:spacing w:line="500" w:lineRule="exact"/>
        <w:ind w:firstLine="560" w:firstLineChars="200"/>
        <w:jc w:val="both"/>
        <w:outlineLvl w:val="2"/>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如：</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1"/>
        <w:gridCol w:w="2550"/>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专业名称及代码</w:t>
            </w:r>
          </w:p>
        </w:tc>
        <w:tc>
          <w:tcPr>
            <w:tcW w:w="2550"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第三位代码</w:t>
            </w:r>
          </w:p>
        </w:tc>
        <w:tc>
          <w:tcPr>
            <w:tcW w:w="264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第四位代码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国际经济与贸易</w:t>
            </w:r>
          </w:p>
        </w:tc>
        <w:tc>
          <w:tcPr>
            <w:tcW w:w="2550"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64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会计学</w:t>
            </w:r>
          </w:p>
        </w:tc>
        <w:tc>
          <w:tcPr>
            <w:tcW w:w="2550"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264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会计电算化</w:t>
            </w:r>
          </w:p>
        </w:tc>
        <w:tc>
          <w:tcPr>
            <w:tcW w:w="2550"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64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市场营销</w:t>
            </w:r>
          </w:p>
        </w:tc>
        <w:tc>
          <w:tcPr>
            <w:tcW w:w="2550"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64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3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电子商务</w:t>
            </w:r>
          </w:p>
        </w:tc>
        <w:tc>
          <w:tcPr>
            <w:tcW w:w="2550"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2641" w:type="dxa"/>
            <w:vAlign w:val="top"/>
          </w:tcPr>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r>
    </w:tbl>
    <w:p>
      <w:pPr>
        <w:spacing w:line="500" w:lineRule="exact"/>
        <w:ind w:firstLine="560" w:firstLineChars="200"/>
        <w:jc w:val="both"/>
        <w:outlineLvl w:val="2"/>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（三）第五位数字是课程类型代码</w:t>
      </w:r>
    </w:p>
    <w:p>
      <w:pPr>
        <w:spacing w:line="500" w:lineRule="exact"/>
        <w:ind w:firstLine="560" w:firstLineChars="200"/>
        <w:jc w:val="both"/>
        <w:outlineLvl w:val="2"/>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 各单位所开设出的课程按其服务的对象分为三类。第一类是指为本单位学生的主修和外单位学生的双学位开设，编号为1；第二类课程是指主要为外单位学生开设（学院间互开课），编号为2；第三类课程是指为全校学生开设的课程，编号为3；其中为全校学生开设的校级任选课程（含素质教育中心的课程），编号为4。</w:t>
      </w:r>
    </w:p>
    <w:p>
      <w:pPr>
        <w:spacing w:line="500" w:lineRule="exact"/>
        <w:ind w:firstLine="560" w:firstLineChars="200"/>
        <w:jc w:val="both"/>
        <w:outlineLvl w:val="2"/>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（四）第六、七、八为数字是课程流水号</w:t>
      </w:r>
    </w:p>
    <w:p>
      <w:pPr>
        <w:spacing w:line="500" w:lineRule="exact"/>
        <w:ind w:firstLine="560" w:firstLineChars="200"/>
        <w:jc w:val="both"/>
        <w:outlineLvl w:val="2"/>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 课程流水号是指该门课程在开课单位所开出的所有课程（包括面向本单位和面向全校学生的课程）中的序号。同名称但内容、学分、要求不同的课程应编写不同的序号，同名称不同学期的课程编写一个序号。</w:t>
      </w:r>
    </w:p>
    <w:p>
      <w:pPr>
        <w:spacing w:line="500" w:lineRule="exact"/>
        <w:ind w:firstLine="560" w:firstLineChars="200"/>
        <w:jc w:val="both"/>
        <w:outlineLvl w:val="2"/>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（五）第九、十为数字是学分号</w:t>
      </w:r>
    </w:p>
    <w:p>
      <w:pPr>
        <w:spacing w:line="500" w:lineRule="exact"/>
        <w:ind w:firstLine="560" w:firstLineChars="200"/>
        <w:jc w:val="both"/>
        <w:outlineLvl w:val="2"/>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 标明该课程的学分数，学分数不足1学分用“1”作为学分号。</w:t>
      </w:r>
    </w:p>
    <w:p>
      <w:pPr>
        <w:spacing w:line="500" w:lineRule="exact"/>
        <w:ind w:firstLine="560" w:firstLineChars="200"/>
        <w:jc w:val="both"/>
        <w:outlineLvl w:val="2"/>
        <w:rPr>
          <w:rFonts w:hint="eastAsia" w:ascii="仿宋_GB2312" w:hAnsi="Times New Roman" w:eastAsia="仿宋_GB2312" w:cs="Times New Roman"/>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56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2018-08-28T08:33:36Z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