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河南省《中原出彩故事》(第一辑)编纂出版方案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bookmarkStart w:id="0" w:name="_GoBack"/>
      <w:bookmarkEnd w:id="0"/>
      <w:r>
        <w:rPr>
          <w:rFonts w:hint="eastAsia"/>
          <w:sz w:val="30"/>
          <w:szCs w:val="30"/>
          <w:lang w:eastAsia="zh-CN"/>
        </w:rPr>
        <w:t>一、</w:t>
      </w:r>
      <w:r>
        <w:rPr>
          <w:rFonts w:hint="eastAsia"/>
          <w:sz w:val="30"/>
          <w:szCs w:val="30"/>
        </w:rPr>
        <w:t>目的意义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习近平总书记指出:“改革开放是决定当代中国命运的关键一招,40年的改革开放使中国人民生活实现了小康,逐步富裕起来了。”改革开放40年,是河南省经济社会发展最快、城乡面貌变化最大、人民群众得到实惠最多的时期。梳理改革开放的发展历程,总结改革开放的经验启示,进步形成改革开放深入推进和发展的对策思路,是深入学习贯彻党的十九大精神和习近平新时代中国特色社会主义思想的重要举措,是各级地方史志工作部门的重要任务和职责编纂出版《中原出彩故事》(第一辑),目的在于更好地展现河南省在党的领导下进行改革开放的创造性实践,总结丰富宝贵的历史经验和鲜活范例,不断探索和把握经济社会发展规律、改革开放规律,为深化改革、扩大开放提供理论支撑和实践指导;讲好出彩故事,宣传美丽河南,为实现全面小康提供历史借鉴和文化支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指导思想</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坚持马列主义、毛泽东思想、邓小平理论、三个代表重要思想、科学发展观、习近平新时代中国特色社会主义思想为指导,按照习近平总书记“讲好中国故事”“中原更加出彩”的要求,以及“创造性转化”“创新性发展”的原则,通过深入挖掘各类史志鉴刊成果中的文献资源,以纪事本末手法讲述一个个精彩鲜活的中原故事,全面系统、客观真实展示改革开放40年来我省改革与发展所取得的巨大成就,全方位多层次地反映省委政府贯彻执行党的路线方针政策的重大决策和各行各业的生动实践</w:t>
      </w:r>
      <w:r>
        <w:rPr>
          <w:rFonts w:hint="eastAsia"/>
          <w:sz w:val="30"/>
          <w:szCs w:val="30"/>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三、基本原则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(一)真实性。通过讲好河南故事(典型的人和事),科学揭示历史发展的本来面目及内在规律。广泛收集、认真梳理、科学甄别史志成果、理论研究等第一手资料文献,力求去伪存真、求精求细。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(二)地域性。全面梳理、准确把握省情、市情和县情抓住重点、写足亮点、突出特点,特别要把创造性的成功实践和典型做法挖掘出来、展现出来</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(三)可读性。以历史的真实原貌为根本出发点,采取纪事本末方式叙述故事主题的前世今生,做到文风朴实、通俗易懂,深入浅出、生动简洁,既符合史志文体要求,又具有一定文采,让普通百姓喜读爱看。</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四)规范化。做到要素齐全,即:时间、地点、人物及主体事件、前因后果、发展过程准确完整;语言文字、标点符号、引文注释、数字用法、计量单位、各种称谓等技术问题,均须按国家出版部门统一规定做规范化处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(五)美感度。坚持图文并茂,宜图则图、宜文则文充分发挥“一图抵百文”的独特作用,配合故事讲述,插入精美图片,不仅可以提高故事的精炼度,而且可以提升全书的美感度</w:t>
      </w:r>
      <w:r>
        <w:rPr>
          <w:rFonts w:hint="eastAsia"/>
          <w:sz w:val="30"/>
          <w:szCs w:val="30"/>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四、框架设计</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全书设计为上、中、下三卷,分别讲述省级、市级和县(市、区)级故事。上卷要站在宏观高度,选取全省层面上那些具有全局意义(国际影响力、全国领先)的故事(100个左右),例如《南水北调大移民》《走向世界的宇通客车》《“天下之中”古建筑群申遗成功》等等,每个故事以5000字为宜,同时选配3-5幅相关照片。中卷要站在中观角度,选取在全省有一定影响力并在市域范围内有代表意义的故事(150个左右),比如特色产业培育、省级以上园区(新区)建设等等,每个故事以3000-40000字为宜,同时选配3-4幅相关照片。下卷要以微观视角,讲述更加鲜活、更接地气的基层故事(200个左右),比如第一个万元户、特色村镇、非遗传承等等,每个故事以2000-3000字为宜,同时选配2-3幅相关照片。</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五、组织编纂</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一)组织协调。由省地方史志办公室牵头,省直各有关单位、各市县(市、区)地方市志办(局)密切配合,共同完成编纂任务。为此,成立由省市两级史志办领导和专家组成的编委会,吸收宣传、政研、出版等方面的领导和专家参加。编委会下设总编室,具体负责制定编写方案、工作计划,对各撰稿部门(单位)进行统筹协调、业务指导、进度督导,完成各层级的统稿和审定工作(编委会及其总编室组成名单另发)。各省辖市、县(市、区)地方史志办(局)要充分发挥自身优势,在深入挖掘历史文献和调查研究的基础上,进行任务分解、责任细化,认真负责地凝练主题、完善稿件。同时,省辖市史志办(局)还要对所辖县(市、区)所提供稿件进行指导把关、凝练提升</w:t>
      </w:r>
      <w:r>
        <w:rPr>
          <w:rFonts w:hint="eastAsia"/>
          <w:sz w:val="30"/>
          <w:szCs w:val="30"/>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二)任务分解。上卷(省级)由省史志办负责,协调指导省直有关单位撰写各行各业的精彩故事,每个单位不超过3个;中卷(市级)由各省辖市史志办(局)负责,协调指导撰写各行各业的精彩故事,每个省辖市不超过10个;下卷(县级)由各省辖市史志办(局)负责,统筹协调各县市区撰写各行各业的精彩故事,每个县级单位不超过2个最后由总编室统筹协调、审核把关,交付出版社印制发行。</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(三)实施步骤</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1.准备阶段(2017年12月至2018年1月)。制定实施方案,与对接沟通,分解工作任务,确定编写人员,开展前期研究,做好专题准备</w:t>
      </w:r>
      <w:r>
        <w:rPr>
          <w:rFonts w:hint="eastAsia"/>
          <w:sz w:val="30"/>
          <w:szCs w:val="30"/>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2.资料征集(2018年1月至2月)。各撰稿部门(单位)要全面认真地查阅、征集原始档案文献(包括各级各类史志鉴,以及有关专著、论文、回忆录、报刊、专题研究成果等),尽可能地充分占有各种原始资料和研究成果,科学合理地拟定故事题目和写作提纲</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3.初稿撰写阶段(3月至4月)。选取素材、提炼升华精彩故事,然后草拟故事梗概,在报请总编室同意后,按要求撰写基础稿件。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4.修改完善阶段(5月至7月)。根据“只要出彩,不求平衡”的原则,总编室按照总体设计和质量标准,选取加工、完善稿件。</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5.审定阶段(8月)。在上下协商一致的基础上,出书稿件最后由编委会领导审定签发。</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sz w:val="30"/>
          <w:szCs w:val="30"/>
        </w:rPr>
      </w:pPr>
      <w:r>
        <w:rPr>
          <w:rFonts w:hint="eastAsia"/>
          <w:sz w:val="30"/>
          <w:szCs w:val="30"/>
        </w:rPr>
        <w:t>6.出版发行(9月)。按照“出精品”要求,由出版社印制发行,力争进入“五个一”工程。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EA24"/>
    <w:multiLevelType w:val="singleLevel"/>
    <w:tmpl w:val="2078EA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05F6E"/>
    <w:rsid w:val="67A05F6E"/>
    <w:rsid w:val="76821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2018-01-29T09:39:00Z</dcterms:created>
  <dc:creator>G</dc:creator>
  <cp:lastModifiedBy>G</cp:lastModifiedBy>
  <dcterms:modified xsi:type="dcterms:W3CDTF">2018-01-29T10:06:13Z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