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4A" w:rsidRDefault="00EF514A" w:rsidP="00EF514A">
      <w:pPr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附件2:</w:t>
      </w:r>
    </w:p>
    <w:p w:rsidR="004747EF" w:rsidRDefault="00BF45E7" w:rsidP="00EF514A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CE57FF">
        <w:rPr>
          <w:rFonts w:ascii="仿宋" w:eastAsia="仿宋" w:hAnsi="仿宋" w:cs="仿宋" w:hint="eastAsia"/>
          <w:b/>
          <w:bCs/>
          <w:sz w:val="36"/>
          <w:szCs w:val="36"/>
        </w:rPr>
        <w:t>“课堂教学奖”终评工作实施方案</w:t>
      </w:r>
    </w:p>
    <w:p w:rsidR="00DA6A3E" w:rsidRPr="00DA6A3E" w:rsidRDefault="00DA6A3E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（征求意见稿）</w:t>
      </w:r>
    </w:p>
    <w:p w:rsidR="00200957" w:rsidRDefault="00BF45E7" w:rsidP="00200957">
      <w:pPr>
        <w:spacing w:line="600" w:lineRule="exact"/>
        <w:ind w:firstLine="645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</w:t>
      </w:r>
      <w:r w:rsidR="00C36BFB">
        <w:rPr>
          <w:rFonts w:ascii="仿宋_GB2312" w:eastAsia="仿宋_GB2312" w:hAnsi="仿宋_GB2312" w:cs="仿宋_GB2312" w:hint="eastAsia"/>
          <w:sz w:val="32"/>
          <w:szCs w:val="32"/>
        </w:rPr>
        <w:t>落实“课堂教学奖”</w:t>
      </w:r>
      <w:r w:rsidR="00AC5788">
        <w:rPr>
          <w:rFonts w:ascii="仿宋_GB2312" w:eastAsia="仿宋_GB2312" w:hAnsi="仿宋_GB2312" w:cs="仿宋_GB2312" w:hint="eastAsia"/>
          <w:sz w:val="32"/>
          <w:szCs w:val="32"/>
        </w:rPr>
        <w:t>评审工作，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交流推广先进教育教学经验，全面提高教育教学质量，特制订本次</w:t>
      </w:r>
      <w:r w:rsidRPr="002009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终评工作实施方案。</w:t>
      </w:r>
    </w:p>
    <w:p w:rsidR="004747EF" w:rsidRDefault="00BF45E7" w:rsidP="00847234">
      <w:pPr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009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终评工作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由学校教学委员会</w:t>
      </w:r>
      <w:r w:rsidRPr="002009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负责实施，以公开展示的形式分阶段进行</w:t>
      </w:r>
      <w:r w:rsidR="00A03E97" w:rsidRPr="002009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，重点放在对过程性教学设计与评价上。</w:t>
      </w:r>
      <w:r w:rsidR="00200957" w:rsidRPr="002009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课程设计应融入现代教育理念，</w:t>
      </w:r>
      <w:bookmarkStart w:id="0" w:name="_GoBack"/>
      <w:bookmarkEnd w:id="0"/>
      <w:r w:rsidR="00200957" w:rsidRPr="002009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建设师生/生生持续交互的动态课堂，破解教学“低效”难题；将课堂导学与课后督学有机融合，充分利用现代信息技术和现代教育资源，培养学生自主学习与自我拓展的能力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 w:rsidR="00200957" w:rsidRPr="002009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以追求教学效果和效率的最大化。</w:t>
      </w:r>
      <w:r w:rsidR="00200957">
        <w:rPr>
          <w:rFonts w:ascii="仿宋_GB2312" w:eastAsia="仿宋_GB2312" w:hAnsi="仿宋_GB2312" w:cs="仿宋_GB2312" w:hint="eastAsia"/>
          <w:kern w:val="0"/>
          <w:sz w:val="32"/>
          <w:szCs w:val="32"/>
        </w:rPr>
        <w:t>引导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教师通过熟练的知识、丰富的经验、高尚的情操和个人魅力，高水平</w:t>
      </w:r>
      <w:r w:rsidR="00AC5788">
        <w:rPr>
          <w:rFonts w:ascii="仿宋_GB2312" w:eastAsia="仿宋_GB2312" w:hAnsi="仿宋_GB2312" w:cs="仿宋_GB2312" w:hint="eastAsia"/>
          <w:kern w:val="0"/>
          <w:sz w:val="32"/>
          <w:szCs w:val="32"/>
        </w:rPr>
        <w:t>激发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学生的学习活力，高质量</w:t>
      </w:r>
      <w:r w:rsidR="00AC5788">
        <w:rPr>
          <w:rFonts w:ascii="仿宋_GB2312" w:eastAsia="仿宋_GB2312" w:hAnsi="仿宋_GB2312" w:cs="仿宋_GB2312" w:hint="eastAsia"/>
          <w:kern w:val="0"/>
          <w:sz w:val="32"/>
          <w:szCs w:val="32"/>
        </w:rPr>
        <w:t>提升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学生的思维品质，促进学生成才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确保人才培养过程和人才培养目标的高效关联。</w:t>
      </w:r>
    </w:p>
    <w:p w:rsidR="004747EF" w:rsidRDefault="00BF45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终评以满分100分计，包括专家评委打分（80%）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和现场观摩的参评教师打分（20%）两部分。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具体实施方案如下：</w:t>
      </w:r>
    </w:p>
    <w:p w:rsidR="004747EF" w:rsidRDefault="00BF45E7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比赛时间与地点</w:t>
      </w:r>
    </w:p>
    <w:p w:rsidR="004747EF" w:rsidRDefault="00BF45E7" w:rsidP="00AC5788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第一阶段比赛时间：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6月24日-6月25日，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地点：A05教学楼。</w:t>
      </w:r>
    </w:p>
    <w:p w:rsidR="004747EF" w:rsidRDefault="00BF45E7" w:rsidP="00AC578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第二阶段比赛时间：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6月30日-7月2日，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地点：A05教学楼。</w:t>
      </w:r>
    </w:p>
    <w:p w:rsidR="004747EF" w:rsidRDefault="00BF45E7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二、参赛人员</w:t>
      </w:r>
    </w:p>
    <w:p w:rsidR="004747EF" w:rsidRDefault="00BF45E7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复评阶段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排名前18%的教师作为特等奖和一等奖候选人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终评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，其他人员按复评参选人员的18%、24%、40%分别确定为二等奖、三等奖和参赛奖。</w:t>
      </w:r>
    </w:p>
    <w:p w:rsidR="004747EF" w:rsidRDefault="00BF45E7" w:rsidP="004747EF">
      <w:pPr>
        <w:spacing w:line="600" w:lineRule="exact"/>
        <w:ind w:firstLineChars="196" w:firstLine="627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2016-2017学年第一学期进入复评环节255人，2016-2017学年第二学期进入复评环节183人。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="64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比赛环节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1.第一阶段，按照大文、大理、术课进行分组，各组根据本组参评人员50%的比例由高到低推荐特等奖候选人。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2.第二阶段，以特等奖候选人公开展示的形式集中进行。按本人得分由高到低，并按复评参选人员6%的比例评出特等奖，未获特等奖的参评人员自动进入一等奖。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四、评委组成</w:t>
      </w:r>
    </w:p>
    <w:p w:rsidR="004747EF" w:rsidRDefault="00BF45E7" w:rsidP="004747EF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1.第一阶段评委由校内专家组成，同时根据每位评委的学科专业进行分组评审。</w:t>
      </w:r>
    </w:p>
    <w:p w:rsidR="004747EF" w:rsidRDefault="00BF45E7" w:rsidP="004747EF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2.第二阶段评委由校内专家与校外专家共同组成进行集中评审。</w:t>
      </w:r>
    </w:p>
    <w:p w:rsidR="004747EF" w:rsidRDefault="00BF45E7" w:rsidP="004747EF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现场观摩的参评教师由复评阶段参赛教师选出。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五、有关事项说明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（一）参赛课程：原则上参赛选用课程应为参赛教师本专业近一年主讲课程，比赛时间为30分钟。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（二）抽签：第一阶段参赛人员在6月23日到教务处抽取参赛顺序。第二阶段参赛人员在6月29日到教务处抽取参赛顺序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学生组织：各部门要安排专人负责本部门教师比赛学生的组织、引导、撤离等工作。进入比赛现场的学生原则上为20-25人，学生在指定位置就坐。每次参赛教师讲完后，学生要在3分钟内离开比赛现场，下一场进场学生在上一位参赛教师参赛完5分钟后（即公布完上位教师平均得分后）进入比赛现场。学生进场和离场要服从工作人员安排。</w:t>
      </w:r>
    </w:p>
    <w:p w:rsidR="004747EF" w:rsidRDefault="00BF45E7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（四）评分:</w:t>
      </w:r>
    </w:p>
    <w:p w:rsidR="004747EF" w:rsidRDefault="00BF45E7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1.本次评分通过我校网络教学平台，采用手机APP方式进行评分。</w:t>
      </w:r>
    </w:p>
    <w:p w:rsidR="004747EF" w:rsidRDefault="00BF45E7" w:rsidP="002C145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2.大赛评委及现场观摩的参评教师要严格</w:t>
      </w:r>
      <w:r w:rsidR="002C1459"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评分标准对每位参赛教师进行评分。</w:t>
      </w:r>
      <w:r w:rsidR="00235285">
        <w:rPr>
          <w:rFonts w:ascii="仿宋_GB2312" w:eastAsia="仿宋_GB2312" w:hAnsi="仿宋_GB2312" w:cs="仿宋_GB2312" w:hint="eastAsia"/>
          <w:kern w:val="0"/>
          <w:sz w:val="32"/>
          <w:szCs w:val="32"/>
        </w:rPr>
        <w:t>评分时只显示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组别、选手编号和评分分数，不</w:t>
      </w:r>
      <w:r w:rsidR="00235285">
        <w:rPr>
          <w:rFonts w:ascii="仿宋_GB2312" w:eastAsia="仿宋_GB2312" w:hAnsi="仿宋_GB2312" w:cs="仿宋_GB2312" w:hint="eastAsia"/>
          <w:kern w:val="0"/>
          <w:sz w:val="32"/>
          <w:szCs w:val="32"/>
        </w:rPr>
        <w:t>显示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参赛教师姓名。</w:t>
      </w:r>
    </w:p>
    <w:p w:rsidR="004747EF" w:rsidRDefault="002C145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BF45E7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340C7D">
        <w:rPr>
          <w:rFonts w:ascii="仿宋_GB2312" w:eastAsia="仿宋_GB2312" w:hAnsi="仿宋_GB2312" w:cs="仿宋_GB2312" w:hint="eastAsia"/>
          <w:kern w:val="0"/>
          <w:sz w:val="32"/>
          <w:szCs w:val="32"/>
        </w:rPr>
        <w:t>评分</w:t>
      </w:r>
      <w:r w:rsidR="00BF45E7"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按照求平均得分的方法计算各参赛教师的比赛成绩，平均得分原则</w:t>
      </w:r>
      <w:r w:rsidR="00716E28">
        <w:rPr>
          <w:rFonts w:ascii="仿宋_GB2312" w:eastAsia="仿宋_GB2312" w:hAnsi="仿宋_GB2312" w:cs="仿宋_GB2312" w:hint="eastAsia"/>
          <w:kern w:val="0"/>
          <w:sz w:val="32"/>
          <w:szCs w:val="32"/>
        </w:rPr>
        <w:t>上</w:t>
      </w:r>
      <w:r w:rsidR="00BF45E7">
        <w:rPr>
          <w:rFonts w:ascii="仿宋_GB2312" w:eastAsia="仿宋_GB2312" w:hAnsi="仿宋_GB2312" w:cs="仿宋_GB2312" w:hint="eastAsia"/>
          <w:kern w:val="0"/>
          <w:sz w:val="32"/>
          <w:szCs w:val="32"/>
        </w:rPr>
        <w:t>保留2位小数。</w:t>
      </w:r>
    </w:p>
    <w:p w:rsidR="004747EF" w:rsidRDefault="00BF45E7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六、其他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1.终评工作实施回避原则，如有直、旁系亲属参评，应进行回避。</w:t>
      </w:r>
    </w:p>
    <w:p w:rsidR="004747EF" w:rsidRDefault="00BF45E7">
      <w:pPr>
        <w:widowControl/>
        <w:tabs>
          <w:tab w:val="left" w:pos="720"/>
        </w:tabs>
        <w:spacing w:line="36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2.本方案未尽事宜由教务处负责解释。</w:t>
      </w:r>
    </w:p>
    <w:p w:rsidR="004747EF" w:rsidRDefault="00BF45E7" w:rsidP="00D55D80">
      <w:pPr>
        <w:widowControl/>
        <w:tabs>
          <w:tab w:val="left" w:pos="720"/>
        </w:tabs>
        <w:spacing w:line="360" w:lineRule="auto"/>
        <w:ind w:firstLine="64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3.为保证终评工作的公开、透明、公正，纪委将对终评工作程序进行全程监督，教务处网站将对相关情况进行公示。如有异议，可拨打举报电话：3682593。</w:t>
      </w:r>
    </w:p>
    <w:p w:rsidR="004747EF" w:rsidRDefault="004747EF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747EF" w:rsidRDefault="004747EF"/>
    <w:sectPr w:rsidR="004747EF" w:rsidSect="00474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D6" w:rsidRDefault="00027BD6" w:rsidP="00235285">
      <w:r>
        <w:separator/>
      </w:r>
    </w:p>
  </w:endnote>
  <w:endnote w:type="continuationSeparator" w:id="1">
    <w:p w:rsidR="00027BD6" w:rsidRDefault="00027BD6" w:rsidP="0023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D6" w:rsidRDefault="00027BD6" w:rsidP="00235285">
      <w:r>
        <w:separator/>
      </w:r>
    </w:p>
  </w:footnote>
  <w:footnote w:type="continuationSeparator" w:id="1">
    <w:p w:rsidR="00027BD6" w:rsidRDefault="00027BD6" w:rsidP="00235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D069"/>
    <w:multiLevelType w:val="singleLevel"/>
    <w:tmpl w:val="5917D06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885"/>
    <w:rsid w:val="00027BD6"/>
    <w:rsid w:val="0003055E"/>
    <w:rsid w:val="00164EF2"/>
    <w:rsid w:val="00183BAE"/>
    <w:rsid w:val="001A333C"/>
    <w:rsid w:val="00200957"/>
    <w:rsid w:val="00216E69"/>
    <w:rsid w:val="00235285"/>
    <w:rsid w:val="002C1459"/>
    <w:rsid w:val="0030732B"/>
    <w:rsid w:val="00340C7D"/>
    <w:rsid w:val="0035647D"/>
    <w:rsid w:val="003D5060"/>
    <w:rsid w:val="00424768"/>
    <w:rsid w:val="004747EF"/>
    <w:rsid w:val="004C5AF3"/>
    <w:rsid w:val="00532796"/>
    <w:rsid w:val="005F1CC4"/>
    <w:rsid w:val="00652673"/>
    <w:rsid w:val="00716E28"/>
    <w:rsid w:val="007429FE"/>
    <w:rsid w:val="0082579F"/>
    <w:rsid w:val="00847234"/>
    <w:rsid w:val="009D7810"/>
    <w:rsid w:val="00A03E97"/>
    <w:rsid w:val="00A109BB"/>
    <w:rsid w:val="00A722FC"/>
    <w:rsid w:val="00AC5788"/>
    <w:rsid w:val="00BF45E7"/>
    <w:rsid w:val="00C36BFB"/>
    <w:rsid w:val="00C80A87"/>
    <w:rsid w:val="00CE57FF"/>
    <w:rsid w:val="00D55D80"/>
    <w:rsid w:val="00DA6A3E"/>
    <w:rsid w:val="00E35CCE"/>
    <w:rsid w:val="00E5589D"/>
    <w:rsid w:val="00E63885"/>
    <w:rsid w:val="00E732E0"/>
    <w:rsid w:val="00EF514A"/>
    <w:rsid w:val="00F11A61"/>
    <w:rsid w:val="00FF6FC0"/>
    <w:rsid w:val="06285F40"/>
    <w:rsid w:val="0955361E"/>
    <w:rsid w:val="252E1075"/>
    <w:rsid w:val="290C07AA"/>
    <w:rsid w:val="290E1050"/>
    <w:rsid w:val="423814CE"/>
    <w:rsid w:val="542F30AD"/>
    <w:rsid w:val="6ECE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7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747E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747EF"/>
    <w:rPr>
      <w:kern w:val="2"/>
      <w:sz w:val="18"/>
      <w:szCs w:val="18"/>
    </w:rPr>
  </w:style>
  <w:style w:type="paragraph" w:styleId="a5">
    <w:name w:val="Balloon Text"/>
    <w:basedOn w:val="a"/>
    <w:link w:val="Char1"/>
    <w:rsid w:val="00AC5788"/>
    <w:rPr>
      <w:sz w:val="18"/>
      <w:szCs w:val="18"/>
    </w:rPr>
  </w:style>
  <w:style w:type="character" w:customStyle="1" w:styleId="Char1">
    <w:name w:val="批注框文本 Char"/>
    <w:basedOn w:val="a0"/>
    <w:link w:val="a5"/>
    <w:rsid w:val="00AC57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樊雪君</cp:lastModifiedBy>
  <cp:revision>90</cp:revision>
  <cp:lastPrinted>2017-05-15T02:37:00Z</cp:lastPrinted>
  <dcterms:created xsi:type="dcterms:W3CDTF">2014-10-29T12:08:00Z</dcterms:created>
  <dcterms:modified xsi:type="dcterms:W3CDTF">2017-05-23T10:05:00Z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